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南通工贸技师学院16号楼机房地面及综合布线项目</w:t>
      </w:r>
    </w:p>
    <w:p>
      <w:pPr>
        <w:widowControl w:val="0"/>
        <w:spacing w:afterLines="150"/>
        <w:jc w:val="center"/>
        <w:rPr>
          <w:rFonts w:ascii="仿宋" w:hAnsi="仿宋" w:eastAsia="仿宋" w:cs="仿宋"/>
          <w:sz w:val="32"/>
          <w:szCs w:val="32"/>
          <w:highlight w:val="none"/>
        </w:rPr>
      </w:pPr>
      <w:r>
        <w:rPr>
          <w:rFonts w:hint="eastAsia" w:ascii="仿宋" w:hAnsi="仿宋" w:eastAsia="仿宋" w:cs="仿宋"/>
          <w:sz w:val="32"/>
          <w:szCs w:val="32"/>
          <w:highlight w:val="none"/>
        </w:rPr>
        <w:t>具体需求</w:t>
      </w:r>
    </w:p>
    <w:p>
      <w:pPr>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满足教学和管理的实际需要，采购人南通工贸技师学院对南通工贸技师学院16号楼机房地面及综合布线项目进行询价采购。投标供应商需仔细研读采购文件，以充分了解招标人采购需要，作出合理的响应。具体内容如下：</w:t>
      </w:r>
    </w:p>
    <w:p>
      <w:pPr>
        <w:spacing w:after="0" w:line="540" w:lineRule="exact"/>
        <w:ind w:firstLine="562" w:firstLineChars="200"/>
        <w:jc w:val="both"/>
        <w:rPr>
          <w:rFonts w:ascii="仿宋" w:hAnsi="仿宋" w:eastAsia="仿宋" w:cs="仿宋"/>
          <w:b/>
          <w:sz w:val="28"/>
          <w:szCs w:val="28"/>
          <w:highlight w:val="none"/>
        </w:rPr>
      </w:pPr>
      <w:r>
        <w:rPr>
          <w:rFonts w:hint="eastAsia" w:ascii="仿宋" w:hAnsi="仿宋" w:eastAsia="仿宋" w:cs="仿宋"/>
          <w:b/>
          <w:sz w:val="28"/>
          <w:szCs w:val="28"/>
          <w:highlight w:val="none"/>
        </w:rPr>
        <w:t>一、供应商资格条件：</w:t>
      </w:r>
    </w:p>
    <w:p>
      <w:pPr>
        <w:pStyle w:val="12"/>
        <w:widowControl/>
        <w:shd w:val="clear" w:color="auto" w:fill="FFFFFF"/>
        <w:adjustRightInd/>
        <w:snapToGrid/>
        <w:spacing w:before="0" w:beforeAutospacing="0" w:after="0" w:afterAutospacing="0" w:line="460" w:lineRule="exact"/>
        <w:ind w:firstLine="588" w:firstLineChars="200"/>
        <w:jc w:val="both"/>
        <w:rPr>
          <w:rFonts w:hint="eastAsia" w:ascii="仿宋" w:hAnsi="仿宋" w:eastAsia="仿宋" w:cs="仿宋"/>
          <w:color w:val="333333"/>
          <w:spacing w:val="7"/>
          <w:kern w:val="0"/>
          <w:sz w:val="28"/>
          <w:szCs w:val="28"/>
          <w:highlight w:val="none"/>
          <w:shd w:val="clear" w:color="auto" w:fill="FFFFFF"/>
          <w:lang w:val="en-US" w:eastAsia="zh-CN"/>
        </w:rPr>
      </w:pPr>
      <w:r>
        <w:rPr>
          <w:rFonts w:hint="eastAsia" w:ascii="仿宋" w:hAnsi="仿宋" w:eastAsia="仿宋" w:cs="仿宋"/>
          <w:color w:val="333333"/>
          <w:spacing w:val="7"/>
          <w:kern w:val="0"/>
          <w:sz w:val="28"/>
          <w:szCs w:val="28"/>
          <w:highlight w:val="none"/>
          <w:shd w:val="clear" w:color="auto" w:fill="FFFFFF"/>
          <w:lang w:val="en-US" w:eastAsia="zh-CN"/>
        </w:rPr>
        <w:t>1.满足《中华人民共和国政府采购法》第二十二条规定；</w:t>
      </w:r>
    </w:p>
    <w:p>
      <w:pPr>
        <w:pStyle w:val="12"/>
        <w:widowControl/>
        <w:shd w:val="clear" w:color="auto" w:fill="FFFFFF"/>
        <w:adjustRightInd/>
        <w:snapToGrid/>
        <w:spacing w:before="0" w:beforeAutospacing="0" w:after="0" w:afterAutospacing="0" w:line="460" w:lineRule="exact"/>
        <w:ind w:firstLine="588" w:firstLineChars="200"/>
        <w:jc w:val="both"/>
        <w:rPr>
          <w:rFonts w:hint="eastAsia" w:ascii="仿宋" w:hAnsi="仿宋" w:eastAsia="仿宋" w:cs="仿宋"/>
          <w:color w:val="333333"/>
          <w:spacing w:val="7"/>
          <w:kern w:val="0"/>
          <w:sz w:val="28"/>
          <w:szCs w:val="28"/>
          <w:highlight w:val="none"/>
          <w:shd w:val="clear" w:color="auto" w:fill="FFFFFF"/>
          <w:lang w:val="en-US" w:eastAsia="zh-CN"/>
        </w:rPr>
      </w:pPr>
      <w:r>
        <w:rPr>
          <w:rFonts w:hint="eastAsia" w:ascii="仿宋" w:hAnsi="仿宋" w:eastAsia="仿宋" w:cs="仿宋"/>
          <w:color w:val="333333"/>
          <w:spacing w:val="7"/>
          <w:kern w:val="0"/>
          <w:sz w:val="28"/>
          <w:szCs w:val="28"/>
          <w:highlight w:val="none"/>
          <w:shd w:val="clear" w:color="auto" w:fill="FFFFFF"/>
          <w:lang w:val="en-US" w:eastAsia="zh-CN"/>
        </w:rPr>
        <w:t>2.未被“信用中国”网站（www.creditchina.gov.cn）列入失信被执行人、重大税收违法案件当事人名单、政府采购严重失信行为记录名单；</w:t>
      </w:r>
    </w:p>
    <w:p>
      <w:pPr>
        <w:pStyle w:val="12"/>
        <w:widowControl/>
        <w:shd w:val="clear" w:color="auto" w:fill="FFFFFF"/>
        <w:adjustRightInd/>
        <w:snapToGrid/>
        <w:spacing w:before="0" w:beforeAutospacing="0" w:after="0" w:afterAutospacing="0" w:line="460" w:lineRule="exact"/>
        <w:ind w:firstLine="588" w:firstLineChars="200"/>
        <w:jc w:val="both"/>
        <w:rPr>
          <w:rFonts w:hint="eastAsia" w:ascii="仿宋" w:hAnsi="仿宋" w:eastAsia="仿宋" w:cs="仿宋"/>
          <w:color w:val="333333"/>
          <w:spacing w:val="7"/>
          <w:kern w:val="0"/>
          <w:sz w:val="28"/>
          <w:szCs w:val="28"/>
          <w:highlight w:val="none"/>
          <w:shd w:val="clear" w:color="auto" w:fill="FFFFFF"/>
          <w:lang w:val="en-US" w:eastAsia="zh-CN"/>
        </w:rPr>
      </w:pPr>
      <w:r>
        <w:rPr>
          <w:rFonts w:hint="eastAsia" w:ascii="仿宋" w:hAnsi="仿宋" w:eastAsia="仿宋" w:cs="仿宋"/>
          <w:color w:val="333333"/>
          <w:spacing w:val="7"/>
          <w:kern w:val="0"/>
          <w:sz w:val="28"/>
          <w:szCs w:val="28"/>
          <w:highlight w:val="none"/>
          <w:shd w:val="clear" w:color="auto" w:fill="FFFFFF"/>
          <w:lang w:val="en-US" w:eastAsia="zh-CN"/>
        </w:rPr>
        <w:t>3</w:t>
      </w:r>
      <w:r>
        <w:rPr>
          <w:rFonts w:hint="eastAsia" w:ascii="仿宋" w:hAnsi="仿宋" w:eastAsia="仿宋" w:cs="仿宋"/>
          <w:color w:val="333333"/>
          <w:spacing w:val="7"/>
          <w:kern w:val="0"/>
          <w:sz w:val="28"/>
          <w:szCs w:val="28"/>
          <w:highlight w:val="none"/>
          <w:shd w:val="clear" w:color="auto" w:fill="FFFFFF"/>
          <w:lang w:val="zh-CN" w:eastAsia="zh-CN"/>
        </w:rPr>
        <w:t>.提供有效的营业执照复印件加盖公章；</w:t>
      </w:r>
    </w:p>
    <w:p>
      <w:pPr>
        <w:pStyle w:val="12"/>
        <w:widowControl/>
        <w:shd w:val="clear" w:color="auto" w:fill="FFFFFF"/>
        <w:adjustRightInd/>
        <w:snapToGrid/>
        <w:spacing w:before="0" w:beforeAutospacing="0" w:after="0" w:afterAutospacing="0" w:line="460" w:lineRule="exact"/>
        <w:ind w:firstLine="588" w:firstLineChars="200"/>
        <w:jc w:val="both"/>
        <w:rPr>
          <w:rFonts w:hint="eastAsia" w:ascii="仿宋" w:hAnsi="仿宋" w:eastAsia="仿宋" w:cs="仿宋"/>
          <w:color w:val="333333"/>
          <w:spacing w:val="7"/>
          <w:kern w:val="0"/>
          <w:sz w:val="28"/>
          <w:szCs w:val="28"/>
          <w:highlight w:val="none"/>
          <w:shd w:val="clear" w:color="auto" w:fill="FFFFFF"/>
          <w:lang w:val="zh-CN" w:eastAsia="zh-CN"/>
        </w:rPr>
      </w:pPr>
      <w:r>
        <w:rPr>
          <w:rFonts w:hint="eastAsia" w:ascii="仿宋" w:hAnsi="仿宋" w:eastAsia="仿宋" w:cs="仿宋"/>
          <w:color w:val="333333"/>
          <w:spacing w:val="7"/>
          <w:kern w:val="0"/>
          <w:sz w:val="28"/>
          <w:szCs w:val="28"/>
          <w:highlight w:val="none"/>
          <w:shd w:val="clear" w:color="auto" w:fill="FFFFFF"/>
          <w:lang w:val="en-US" w:eastAsia="zh-CN"/>
        </w:rPr>
        <w:t>4</w:t>
      </w:r>
      <w:r>
        <w:rPr>
          <w:rFonts w:hint="eastAsia" w:ascii="仿宋" w:hAnsi="仿宋" w:eastAsia="仿宋" w:cs="仿宋"/>
          <w:color w:val="333333"/>
          <w:spacing w:val="7"/>
          <w:kern w:val="0"/>
          <w:sz w:val="28"/>
          <w:szCs w:val="28"/>
          <w:highlight w:val="none"/>
          <w:shd w:val="clear" w:color="auto" w:fill="FFFFFF"/>
          <w:lang w:val="zh-CN" w:eastAsia="zh-CN"/>
        </w:rPr>
        <w:t>.提供法人代表身份证明及本人身份证复印件加盖公章；非法定代表人参加</w:t>
      </w:r>
      <w:r>
        <w:rPr>
          <w:rFonts w:hint="eastAsia" w:ascii="仿宋" w:hAnsi="仿宋" w:eastAsia="仿宋" w:cs="仿宋"/>
          <w:color w:val="333333"/>
          <w:spacing w:val="7"/>
          <w:kern w:val="0"/>
          <w:sz w:val="28"/>
          <w:szCs w:val="28"/>
          <w:highlight w:val="none"/>
          <w:shd w:val="clear" w:color="auto" w:fill="FFFFFF"/>
          <w:lang w:val="en-US" w:eastAsia="zh-CN"/>
        </w:rPr>
        <w:t>询价</w:t>
      </w:r>
      <w:r>
        <w:rPr>
          <w:rFonts w:hint="eastAsia" w:ascii="仿宋" w:hAnsi="仿宋" w:eastAsia="仿宋" w:cs="仿宋"/>
          <w:color w:val="333333"/>
          <w:spacing w:val="7"/>
          <w:kern w:val="0"/>
          <w:sz w:val="28"/>
          <w:szCs w:val="28"/>
          <w:highlight w:val="none"/>
          <w:shd w:val="clear" w:color="auto" w:fill="FFFFFF"/>
          <w:lang w:val="zh-CN" w:eastAsia="zh-CN"/>
        </w:rPr>
        <w:t>的，另需提供法人授权委托书、被委托人身份证复印件加盖公章。</w:t>
      </w:r>
    </w:p>
    <w:p>
      <w:pPr>
        <w:pStyle w:val="12"/>
        <w:widowControl/>
        <w:shd w:val="clear" w:color="auto" w:fill="FFFFFF"/>
        <w:adjustRightInd/>
        <w:snapToGrid/>
        <w:spacing w:before="0" w:beforeAutospacing="0" w:after="0" w:afterAutospacing="0" w:line="460" w:lineRule="exact"/>
        <w:ind w:firstLine="588" w:firstLineChars="200"/>
        <w:jc w:val="both"/>
        <w:rPr>
          <w:rFonts w:hint="eastAsia" w:ascii="仿宋" w:hAnsi="仿宋" w:eastAsia="仿宋" w:cs="仿宋"/>
          <w:color w:val="333333"/>
          <w:spacing w:val="7"/>
          <w:kern w:val="0"/>
          <w:sz w:val="28"/>
          <w:szCs w:val="28"/>
          <w:highlight w:val="none"/>
          <w:shd w:val="clear" w:color="auto" w:fill="FFFFFF"/>
          <w:lang w:val="en-US" w:eastAsia="zh-CN"/>
        </w:rPr>
      </w:pPr>
      <w:r>
        <w:rPr>
          <w:rFonts w:hint="eastAsia" w:ascii="仿宋" w:hAnsi="仿宋" w:eastAsia="仿宋" w:cs="仿宋"/>
          <w:color w:val="333333"/>
          <w:spacing w:val="7"/>
          <w:kern w:val="0"/>
          <w:sz w:val="28"/>
          <w:szCs w:val="28"/>
          <w:highlight w:val="none"/>
          <w:shd w:val="clear" w:color="auto" w:fill="FFFFFF"/>
          <w:lang w:val="en-US" w:eastAsia="zh-CN"/>
        </w:rPr>
        <w:t>5.法定代表人为同一个人的两个及两个以上法人，母公司、全资子公司及其控股公司，都不得在同一采购项目相同标段中同时投标，一经发现，将视同围标处理。</w:t>
      </w:r>
    </w:p>
    <w:p>
      <w:pPr>
        <w:pStyle w:val="12"/>
        <w:widowControl/>
        <w:shd w:val="clear" w:color="auto" w:fill="FFFFFF"/>
        <w:spacing w:beforeAutospacing="0" w:afterAutospacing="0" w:line="460" w:lineRule="exact"/>
        <w:ind w:firstLine="560" w:firstLineChars="200"/>
        <w:jc w:val="both"/>
        <w:rPr>
          <w:rFonts w:hint="eastAsia" w:ascii="仿宋" w:hAnsi="仿宋" w:eastAsia="仿宋" w:cs="仿宋"/>
          <w:color w:val="333333"/>
          <w:spacing w:val="7"/>
          <w:sz w:val="28"/>
          <w:szCs w:val="28"/>
          <w:highlight w:val="none"/>
          <w:shd w:val="clear" w:color="auto" w:fill="FFFFFF"/>
          <w:lang w:val="en-US" w:eastAsia="zh-CN"/>
        </w:rPr>
      </w:pPr>
      <w:r>
        <w:rPr>
          <w:rFonts w:hint="eastAsia" w:ascii="仿宋" w:hAnsi="仿宋" w:eastAsia="仿宋" w:cs="仿宋"/>
          <w:sz w:val="28"/>
          <w:szCs w:val="28"/>
          <w:highlight w:val="none"/>
          <w:lang w:val="en-US" w:eastAsia="zh-CN"/>
        </w:rPr>
        <w:t>6.提供</w:t>
      </w:r>
      <w:r>
        <w:rPr>
          <w:rFonts w:hint="eastAsia" w:ascii="仿宋" w:hAnsi="仿宋" w:eastAsia="仿宋" w:cs="仿宋"/>
          <w:sz w:val="28"/>
          <w:szCs w:val="28"/>
          <w:highlight w:val="none"/>
          <w:lang w:val="zh-CN"/>
        </w:rPr>
        <w:t>技术条款响应一览表，</w:t>
      </w:r>
      <w:r>
        <w:rPr>
          <w:rFonts w:hint="eastAsia" w:ascii="仿宋" w:hAnsi="仿宋" w:eastAsia="仿宋" w:cs="仿宋"/>
          <w:sz w:val="28"/>
          <w:szCs w:val="28"/>
          <w:highlight w:val="none"/>
        </w:rPr>
        <w:t>采购清单中要求提供的技术参数偏离表</w:t>
      </w:r>
      <w:r>
        <w:rPr>
          <w:rFonts w:hint="eastAsia" w:ascii="仿宋" w:hAnsi="仿宋" w:eastAsia="仿宋" w:cs="仿宋"/>
          <w:sz w:val="28"/>
          <w:szCs w:val="28"/>
          <w:highlight w:val="none"/>
          <w:lang w:eastAsia="zh-CN"/>
        </w:rPr>
        <w:t>。</w:t>
      </w:r>
    </w:p>
    <w:p>
      <w:pPr>
        <w:pStyle w:val="12"/>
        <w:widowControl/>
        <w:shd w:val="clear" w:color="auto" w:fill="FFFFFF"/>
        <w:adjustRightInd/>
        <w:snapToGrid/>
        <w:spacing w:before="0" w:beforeAutospacing="0" w:after="0" w:afterAutospacing="0" w:line="460" w:lineRule="exact"/>
        <w:ind w:firstLine="588" w:firstLineChars="200"/>
        <w:jc w:val="both"/>
        <w:rPr>
          <w:rFonts w:hint="eastAsia" w:ascii="仿宋" w:hAnsi="仿宋" w:eastAsia="仿宋" w:cs="仿宋"/>
          <w:color w:val="333333"/>
          <w:spacing w:val="7"/>
          <w:kern w:val="0"/>
          <w:sz w:val="28"/>
          <w:szCs w:val="28"/>
          <w:highlight w:val="none"/>
          <w:shd w:val="clear" w:color="auto" w:fill="FFFFFF"/>
          <w:lang w:val="en-US" w:eastAsia="zh-CN"/>
        </w:rPr>
      </w:pPr>
      <w:r>
        <w:rPr>
          <w:rFonts w:hint="eastAsia" w:ascii="仿宋" w:hAnsi="仿宋" w:eastAsia="仿宋" w:cs="仿宋"/>
          <w:color w:val="333333"/>
          <w:spacing w:val="7"/>
          <w:kern w:val="0"/>
          <w:sz w:val="28"/>
          <w:szCs w:val="28"/>
          <w:highlight w:val="none"/>
          <w:shd w:val="clear" w:color="auto" w:fill="FFFFFF"/>
          <w:lang w:val="en-US" w:eastAsia="zh-CN"/>
        </w:rPr>
        <w:t>7.落实政府采购政策需满足的资格要求：无。</w:t>
      </w:r>
    </w:p>
    <w:p>
      <w:pPr>
        <w:pStyle w:val="12"/>
        <w:widowControl/>
        <w:shd w:val="clear" w:color="auto" w:fill="FFFFFF"/>
        <w:adjustRightInd/>
        <w:snapToGrid/>
        <w:spacing w:before="0" w:beforeAutospacing="0" w:after="0" w:afterAutospacing="0" w:line="460" w:lineRule="exact"/>
        <w:ind w:firstLine="588" w:firstLineChars="200"/>
        <w:jc w:val="both"/>
        <w:rPr>
          <w:rFonts w:hint="eastAsia" w:ascii="仿宋" w:hAnsi="仿宋" w:eastAsia="仿宋" w:cs="仿宋"/>
          <w:color w:val="333333"/>
          <w:spacing w:val="7"/>
          <w:kern w:val="0"/>
          <w:sz w:val="28"/>
          <w:szCs w:val="28"/>
          <w:highlight w:val="none"/>
          <w:shd w:val="clear" w:color="auto" w:fill="FFFFFF"/>
          <w:lang w:val="en-US" w:eastAsia="zh-CN"/>
        </w:rPr>
      </w:pPr>
      <w:r>
        <w:rPr>
          <w:rFonts w:hint="eastAsia" w:ascii="仿宋" w:hAnsi="仿宋" w:eastAsia="仿宋" w:cs="仿宋"/>
          <w:color w:val="333333"/>
          <w:spacing w:val="7"/>
          <w:kern w:val="0"/>
          <w:sz w:val="28"/>
          <w:szCs w:val="28"/>
          <w:highlight w:val="none"/>
          <w:shd w:val="clear" w:color="auto" w:fill="FFFFFF"/>
          <w:lang w:val="en-US" w:eastAsia="zh-CN"/>
        </w:rPr>
        <w:t>8.本项目不接受联合体。</w:t>
      </w:r>
    </w:p>
    <w:p>
      <w:pPr>
        <w:spacing w:after="0" w:line="540" w:lineRule="exact"/>
        <w:ind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二、项目技术要求、服务条款</w:t>
      </w:r>
    </w:p>
    <w:p>
      <w:pPr>
        <w:spacing w:after="0" w:line="540" w:lineRule="exact"/>
        <w:ind w:firstLine="562" w:firstLineChars="200"/>
        <w:jc w:val="both"/>
        <w:rPr>
          <w:rFonts w:ascii="仿宋" w:hAnsi="仿宋" w:eastAsia="仿宋" w:cs="仿宋"/>
          <w:b/>
          <w:bCs/>
          <w:sz w:val="28"/>
          <w:szCs w:val="28"/>
          <w:lang w:val="zh-CN"/>
        </w:rPr>
      </w:pPr>
      <w:r>
        <w:rPr>
          <w:rFonts w:hint="eastAsia" w:ascii="仿宋" w:hAnsi="仿宋" w:eastAsia="仿宋" w:cs="仿宋"/>
          <w:b/>
          <w:bCs/>
          <w:sz w:val="28"/>
          <w:szCs w:val="28"/>
          <w:lang w:val="zh-CN"/>
        </w:rPr>
        <w:t>（一） 采购标的需实现的功能或者目标, 以及为落实政府采购政策需满足的要求</w:t>
      </w:r>
    </w:p>
    <w:p>
      <w:pPr>
        <w:spacing w:after="0" w:line="540" w:lineRule="exact"/>
        <w:ind w:firstLine="560" w:firstLineChars="200"/>
        <w:jc w:val="both"/>
        <w:rPr>
          <w:rFonts w:ascii="仿宋" w:hAnsi="仿宋" w:eastAsia="仿宋" w:cs="仿宋"/>
          <w:sz w:val="28"/>
          <w:szCs w:val="28"/>
          <w:lang w:val="zh-CN"/>
        </w:rPr>
      </w:pPr>
      <w:r>
        <w:rPr>
          <w:rFonts w:hint="eastAsia" w:ascii="仿宋" w:hAnsi="仿宋" w:eastAsia="仿宋" w:cs="仿宋"/>
          <w:sz w:val="28"/>
          <w:szCs w:val="28"/>
          <w:lang w:val="zh-CN"/>
        </w:rPr>
        <w:t>为进一步提高学院计算机机房利用率，提升机房管理水平，为师生创设良好的实训环境，提高教育教学质量，学院现对1</w:t>
      </w:r>
      <w:r>
        <w:rPr>
          <w:rFonts w:ascii="仿宋" w:hAnsi="仿宋" w:eastAsia="仿宋" w:cs="仿宋"/>
          <w:sz w:val="28"/>
          <w:szCs w:val="28"/>
          <w:lang w:val="zh-CN"/>
        </w:rPr>
        <w:t>6</w:t>
      </w:r>
      <w:r>
        <w:rPr>
          <w:rFonts w:hint="eastAsia" w:ascii="仿宋" w:hAnsi="仿宋" w:eastAsia="仿宋" w:cs="仿宋"/>
          <w:sz w:val="28"/>
          <w:szCs w:val="28"/>
          <w:lang w:val="zh-CN"/>
        </w:rPr>
        <w:t>号楼计算机机房进行综合布线、强弱电施工、防静电地板铺设、教室环境布置等，将学院1</w:t>
      </w:r>
      <w:r>
        <w:rPr>
          <w:rFonts w:ascii="仿宋" w:hAnsi="仿宋" w:eastAsia="仿宋" w:cs="仿宋"/>
          <w:sz w:val="28"/>
          <w:szCs w:val="28"/>
          <w:lang w:val="zh-CN"/>
        </w:rPr>
        <w:t>1</w:t>
      </w:r>
      <w:r>
        <w:rPr>
          <w:rFonts w:hint="eastAsia" w:ascii="仿宋" w:hAnsi="仿宋" w:eastAsia="仿宋" w:cs="仿宋"/>
          <w:sz w:val="28"/>
          <w:szCs w:val="28"/>
          <w:lang w:val="zh-CN"/>
        </w:rPr>
        <w:t>号楼、1</w:t>
      </w:r>
      <w:r>
        <w:rPr>
          <w:rFonts w:ascii="仿宋" w:hAnsi="仿宋" w:eastAsia="仿宋" w:cs="仿宋"/>
          <w:sz w:val="28"/>
          <w:szCs w:val="28"/>
          <w:lang w:val="zh-CN"/>
        </w:rPr>
        <w:t>2</w:t>
      </w:r>
      <w:r>
        <w:rPr>
          <w:rFonts w:hint="eastAsia" w:ascii="仿宋" w:hAnsi="仿宋" w:eastAsia="仿宋" w:cs="仿宋"/>
          <w:sz w:val="28"/>
          <w:szCs w:val="28"/>
          <w:lang w:val="zh-CN"/>
        </w:rPr>
        <w:t>号楼、1</w:t>
      </w:r>
      <w:r>
        <w:rPr>
          <w:rFonts w:ascii="仿宋" w:hAnsi="仿宋" w:eastAsia="仿宋" w:cs="仿宋"/>
          <w:sz w:val="28"/>
          <w:szCs w:val="28"/>
          <w:lang w:val="zh-CN"/>
        </w:rPr>
        <w:t>3</w:t>
      </w:r>
      <w:r>
        <w:rPr>
          <w:rFonts w:hint="eastAsia" w:ascii="仿宋" w:hAnsi="仿宋" w:eastAsia="仿宋" w:cs="仿宋"/>
          <w:sz w:val="28"/>
          <w:szCs w:val="28"/>
          <w:lang w:val="zh-CN"/>
        </w:rPr>
        <w:t>号楼及1</w:t>
      </w:r>
      <w:r>
        <w:rPr>
          <w:rFonts w:ascii="仿宋" w:hAnsi="仿宋" w:eastAsia="仿宋" w:cs="仿宋"/>
          <w:sz w:val="28"/>
          <w:szCs w:val="28"/>
          <w:lang w:val="zh-CN"/>
        </w:rPr>
        <w:t>5</w:t>
      </w:r>
      <w:r>
        <w:rPr>
          <w:rFonts w:hint="eastAsia" w:ascii="仿宋" w:hAnsi="仿宋" w:eastAsia="仿宋" w:cs="仿宋"/>
          <w:sz w:val="28"/>
          <w:szCs w:val="28"/>
          <w:lang w:val="zh-CN"/>
        </w:rPr>
        <w:t>号楼部分计算机机房整体搬迁至1</w:t>
      </w:r>
      <w:r>
        <w:rPr>
          <w:rFonts w:ascii="仿宋" w:hAnsi="仿宋" w:eastAsia="仿宋" w:cs="仿宋"/>
          <w:sz w:val="28"/>
          <w:szCs w:val="28"/>
          <w:lang w:val="zh-CN"/>
        </w:rPr>
        <w:t>6</w:t>
      </w:r>
      <w:r>
        <w:rPr>
          <w:rFonts w:hint="eastAsia" w:ascii="仿宋" w:hAnsi="仿宋" w:eastAsia="仿宋" w:cs="仿宋"/>
          <w:sz w:val="28"/>
          <w:szCs w:val="28"/>
          <w:lang w:val="zh-CN"/>
        </w:rPr>
        <w:t>号楼5层及6层房间，并进行安装、调试。场地现状为毛坯，房间强电及弱电接入点已到位。</w:t>
      </w:r>
    </w:p>
    <w:p>
      <w:pPr>
        <w:spacing w:after="0" w:line="540" w:lineRule="exact"/>
        <w:ind w:firstLine="562" w:firstLineChars="200"/>
        <w:jc w:val="both"/>
        <w:rPr>
          <w:rFonts w:ascii="仿宋" w:hAnsi="仿宋" w:eastAsia="仿宋" w:cs="仿宋"/>
          <w:b/>
          <w:bCs/>
          <w:sz w:val="28"/>
          <w:szCs w:val="28"/>
          <w:lang w:val="zh-CN"/>
        </w:rPr>
      </w:pPr>
      <w:r>
        <w:rPr>
          <w:rFonts w:hint="eastAsia" w:ascii="仿宋" w:hAnsi="仿宋" w:eastAsia="仿宋" w:cs="仿宋"/>
          <w:b/>
          <w:bCs/>
          <w:sz w:val="28"/>
          <w:szCs w:val="28"/>
          <w:lang w:val="zh-CN"/>
        </w:rPr>
        <w:t>（二）采购标的需执行的国家相关标准、行业标准、地方标准或者其他标准、规范</w:t>
      </w:r>
    </w:p>
    <w:p>
      <w:pPr>
        <w:spacing w:after="0" w:line="540" w:lineRule="exact"/>
        <w:ind w:firstLine="560" w:firstLineChars="200"/>
        <w:jc w:val="both"/>
        <w:rPr>
          <w:rFonts w:ascii="仿宋" w:hAnsi="仿宋" w:eastAsia="仿宋" w:cs="仿宋"/>
          <w:sz w:val="28"/>
          <w:szCs w:val="28"/>
          <w:lang w:val="zh-CN"/>
        </w:rPr>
      </w:pPr>
      <w:r>
        <w:rPr>
          <w:rFonts w:hint="eastAsia" w:ascii="仿宋" w:hAnsi="仿宋" w:eastAsia="仿宋" w:cs="仿宋"/>
          <w:sz w:val="28"/>
          <w:szCs w:val="28"/>
          <w:lang w:val="zh-CN"/>
        </w:rPr>
        <w:t>1.投标产品的技术标准按国家标准执行，无国家标准的，按行业标准执行；无国家和行业标准的，按企业标准执行；但在招标文件中有特别要求的，按招标文件中规定的要求执行，并且符合相关法律、法规规定的要求。</w:t>
      </w:r>
    </w:p>
    <w:p>
      <w:pPr>
        <w:spacing w:after="0" w:line="540" w:lineRule="exact"/>
        <w:ind w:firstLine="560" w:firstLineChars="200"/>
        <w:jc w:val="both"/>
        <w:rPr>
          <w:rFonts w:ascii="仿宋" w:hAnsi="仿宋" w:eastAsia="仿宋" w:cs="仿宋"/>
          <w:sz w:val="28"/>
          <w:szCs w:val="28"/>
          <w:lang w:val="zh-CN"/>
        </w:rPr>
      </w:pPr>
      <w:r>
        <w:rPr>
          <w:rFonts w:hint="eastAsia" w:ascii="仿宋" w:hAnsi="仿宋" w:eastAsia="仿宋" w:cs="仿宋"/>
          <w:sz w:val="28"/>
          <w:szCs w:val="28"/>
          <w:lang w:val="zh-CN"/>
        </w:rPr>
        <w:t>2.项目提供的技术要求(规格)只是对产品的一些原则性要求，并不是最详尽的描述和要求，投标人有责任依据相关设计技术规范和有关行业国家标准执行。</w:t>
      </w:r>
    </w:p>
    <w:p>
      <w:pPr>
        <w:spacing w:after="0" w:line="540" w:lineRule="exact"/>
        <w:ind w:firstLine="560" w:firstLineChars="200"/>
        <w:jc w:val="both"/>
        <w:rPr>
          <w:rFonts w:ascii="仿宋" w:hAnsi="仿宋" w:eastAsia="仿宋" w:cs="仿宋"/>
          <w:sz w:val="28"/>
          <w:szCs w:val="28"/>
          <w:lang w:val="zh-CN"/>
        </w:rPr>
      </w:pPr>
      <w:r>
        <w:rPr>
          <w:rFonts w:hint="eastAsia" w:ascii="仿宋" w:hAnsi="仿宋" w:eastAsia="仿宋" w:cs="仿宋"/>
          <w:sz w:val="28"/>
          <w:szCs w:val="28"/>
          <w:lang w:val="zh-CN"/>
        </w:rPr>
        <w:t>3.投标人应保证提供的产品不得侵犯第三方专利权、商标权和设计权、版权等。否则，投标人应负全部责任，并承担由此引起的一切后果。</w:t>
      </w:r>
    </w:p>
    <w:p>
      <w:pPr>
        <w:spacing w:after="0" w:line="540" w:lineRule="exact"/>
        <w:ind w:firstLine="560" w:firstLineChars="200"/>
        <w:jc w:val="both"/>
        <w:rPr>
          <w:rFonts w:ascii="仿宋" w:hAnsi="仿宋" w:eastAsia="仿宋" w:cs="仿宋"/>
          <w:sz w:val="28"/>
          <w:szCs w:val="28"/>
          <w:lang w:val="zh-CN"/>
        </w:rPr>
      </w:pPr>
      <w:r>
        <w:rPr>
          <w:rFonts w:ascii="仿宋" w:hAnsi="仿宋" w:eastAsia="仿宋" w:cs="仿宋"/>
          <w:sz w:val="28"/>
          <w:szCs w:val="28"/>
          <w:lang w:val="zh-CN"/>
        </w:rPr>
        <w:t>4</w:t>
      </w:r>
      <w:r>
        <w:rPr>
          <w:rFonts w:hint="eastAsia" w:ascii="仿宋" w:hAnsi="仿宋" w:eastAsia="仿宋" w:cs="仿宋"/>
          <w:sz w:val="28"/>
          <w:szCs w:val="28"/>
          <w:lang w:val="zh-CN"/>
        </w:rPr>
        <w:t>.项目施工须按《电子信息系统机房设计规范》（GB 50174-2017）、《综合布线系统工程设计规范》（GB 50311-2016）等标准执行。</w:t>
      </w:r>
    </w:p>
    <w:p>
      <w:pPr>
        <w:spacing w:after="0" w:line="540" w:lineRule="exact"/>
        <w:ind w:firstLine="562" w:firstLineChars="200"/>
        <w:jc w:val="both"/>
        <w:rPr>
          <w:rFonts w:ascii="仿宋" w:hAnsi="仿宋" w:eastAsia="仿宋" w:cs="仿宋"/>
          <w:b/>
          <w:bCs/>
          <w:sz w:val="28"/>
          <w:szCs w:val="28"/>
          <w:lang w:val="zh-CN"/>
        </w:rPr>
      </w:pPr>
      <w:r>
        <w:rPr>
          <w:rFonts w:hint="eastAsia" w:ascii="仿宋" w:hAnsi="仿宋" w:eastAsia="仿宋" w:cs="仿宋"/>
          <w:b/>
          <w:bCs/>
          <w:sz w:val="28"/>
          <w:szCs w:val="28"/>
          <w:lang w:val="zh-CN"/>
        </w:rPr>
        <w:t>（三）采购标的需满足的质量、安全、技术规格、物理特性等要求</w:t>
      </w:r>
    </w:p>
    <w:tbl>
      <w:tblPr>
        <w:tblStyle w:val="13"/>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00"/>
        <w:gridCol w:w="1092"/>
        <w:gridCol w:w="4469"/>
        <w:gridCol w:w="531"/>
        <w:gridCol w:w="505"/>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设备名称</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建议品牌</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配置参数</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数量</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单位</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（共1间，12m*12m，16-5F，不含地板）</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弱电布线</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网络机柜</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一舟、图腾、华为</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600*600*1800mm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标准配置：机柜托板*4块、轴流风机*1台、普通6位PDU电源插排*1个、机柜螺丝1包，盲板若干（全封闭）。</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前钢化玻璃门后网孔门</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用料材质：优质冷轧钢板 方孔条2.0mm其余1.0mm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质量标准：符合ANSI/EIA RS-310-D、IEC297-2、DIN41491;</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PART1、DIN41494; PART7、 GB/T3047.2- 92标准;兼容ETSI标准</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表面处理：脱脂、磷化、静电喷塑</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防护等级:IP20 静载750KG</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台</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双绞线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六类非屏蔽双绞线</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1)标准：YD/T1019，ANSI∕TIA-568-C.2，ISO/IEC 11801，IEC 61156-5，IEC60332-1-2</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2)通过标准最高传输频率250MHz测试</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3)额定传输速率(NVP)：68%</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4)单根导体直流电阻：≤9.0Ω/100m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5)导体：软圆铜线、0.57mm±0.02mm，绝缘：HDPE，线对：4对</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6)屏蔽方式: F/UTP，单面复合铝箔纵包和排流线，线对采用“十”字骨架隔离</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7)护套材料：PVC或LSZH，护套外径：7.4±0.3mm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8)最小弯曲半径：安装时：10倍电缆外径，安装后：50mm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9)温度范围：安装时0℃～+50℃，运行时-20℃～+60℃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305米/箱</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箱</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网络水晶头</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六类非屏蔽网络水晶头（100只/盒）</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1)符合T568A和T568B线序</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2)结构：两件式设计，8P8C</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3)金片：三叉铜合金</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4)塑胶壳材料：聚碳酸脂，符合UL-94V-2</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5)镀金厚度：50u”</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6)适用芯线直径：0.98mm~1.05mm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7)插拔次数：≥1000次</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8)拉力测试：≥20N</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9)介质耐电压：1000VAC/60S</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10)工作环境温度：-10℃～+60℃</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盒</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六类成品跳线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1)标准：YD/T 926.3，ISO/IEC 11801，ANSI/TIA - 568-C.2</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2)原厂成型，100%测试，具有更高的可靠性和传输性能</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3)2米/根</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4)导体: 多股绞合，软圆铜线</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5)导体线规：24AWG</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6)屏蔽方式: U/UTP</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7)护套材料：PVC，护套外径：6.0±0.3mm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8)插头: RJ45，8P8C</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9)插头护套： PVC</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10)塑胶壳：透明聚碳酸酯</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11)簧片材料：铜表面镀金</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12)插拔次数：≥1000次</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13)最高传输频率：250MHz</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14)工作环境温度：-10℃～+60℃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15)符合TIA-EIA-568-C.2-2009标准的单体性能要求</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网络配线架</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六类非屏蔽网络配线架</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1)标准：YD/T 926.3，ISO/IEC 11801，TIA /EIA- 568-C.2 </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2)标准19英寸机架式安装，高度：1U，采用全塑料面板，金属底板结构，外形美观，机械强度高</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3)端口数量：24口，采用整体式设计，6口插座为一组</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4)卡线座印有色标，方便施工和检验</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5)完善清晰的标识系统，自带标识纸和标识盖</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6)IDC：磷青铜</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7)金针：磷青铜表面镀金</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8)线缆保护盖：PC 材料</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9)进线方式：180°进线</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10)卡接导体规格：0.5mm～0.65mm，24AWG~22AWG</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11)打线方式：568A/568B</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12)插头与插座插合次数：≥1000次</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13)导线端接次数：≥250次</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14)最高传输频率：100MHz</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15)工作环境温度：-10℃～+60℃</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理线架</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1、标准 19”机架式安装，高度：1U，深度：75mm SPCC 冷轧钢板表面脱脂、磷化、静电喷塑处理，机械强度高 上下各 12 档，23mm 超宽理线档距，为高性能线缆提供更大的空间</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2、盖板采用卡扣式设计可单边开启无需拆下盖板也可跳线，便于操作带有贯穿孔，便于前后走线和冗余线缆的存放</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3、厚度：架体 1.2mm 、盖板 1.0mm</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弱电桥架</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天虹、隆鑫、华鹏</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100*100mm镀锌、国标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30</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单模光纤跳线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产品类型LC-LC E2000 MTRL</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插入耗损（dB） ≤0.20 ≤0.20 ＜0.10 ≤0.20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最大插入耗损（dB） 0.2 0.2 0.15 0.3</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插入回波耗损（dB） ≥50 ≥50 ＞55 ≥50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重复性（dB） ≤0.10 ≤0.10 ＜0.10 ≤0.10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互换性（dB） ≤0.15 ≤0.15 ≤0.15 ≤0.15</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光纤类别 G652；G655单模光纤等</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工作温度（℃） -40~+70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插拨次数 ≥500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光缆长度（M） 3、5、7、10等用户可自定长度</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采用标准 符合Telcordia、ANSI、IEC、TIA/EIA、NTT和IS标准</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单模光纤模块</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H3C、华为、锐捷</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SFP-GE-LX-SM1310-A，千兆单模光模块1310nm/10km/1G</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强电布线</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物联网智能总开</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一、3P智慧微断模组</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1.额定电流：80A；带功率因数检测.</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2.额定电压：AC380V；</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★3.分断能力Icn：≥10000A</w:t>
            </w:r>
            <w:r>
              <w:rPr>
                <w:rFonts w:hint="eastAsia" w:ascii="仿宋" w:hAnsi="仿宋" w:eastAsia="仿宋" w:cs="仿宋"/>
                <w:b/>
                <w:bCs/>
                <w:sz w:val="24"/>
                <w:szCs w:val="24"/>
                <w:highlight w:val="none"/>
                <w:lang w:val="zh-CN"/>
              </w:rPr>
              <w:t>（投标时须提供3C或CQC检测报告复印件并加盖原厂公章）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4.短路保护：线路短路时，断路器0.04s断电保护；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5.功率限定：达到限定功率，10秒内断电保护；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6.电流限定：达到限定电流，10秒内断电保护；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7.温度保护：出线端子温度超过70度预警，超过90度报警及保护；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8.过压（欠压）保护：当三相电中任意单相电输入电压超过263V，10S内断电保护，超过250V过压预警，低于190V欠压预警；</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9.手自一体控制：手机遥控，可以按键自动控制，也可通过手动推杆控制通断；</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★10.故障检修功能：设备应具备本地检修模式，进入设备分闸锁定状态，远程、本地都不能合闸，检修完毕后，恢复远程模式；</w:t>
            </w:r>
            <w:r>
              <w:rPr>
                <w:rFonts w:hint="eastAsia" w:ascii="仿宋" w:hAnsi="仿宋" w:eastAsia="仿宋" w:cs="仿宋"/>
                <w:b/>
                <w:bCs/>
                <w:sz w:val="24"/>
                <w:szCs w:val="24"/>
                <w:highlight w:val="none"/>
                <w:lang w:val="zh-CN"/>
              </w:rPr>
              <w:t>（投标时须提供具有CNAS标识的第三方检测报告复印件并加盖原厂公章）</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★11.远程锁定功能：设备应具备远程锁定功能，进入远程锁定状态，远程、本地都禁止合闸，解除远程锁定后，恢复远程模式</w:t>
            </w:r>
            <w:r>
              <w:rPr>
                <w:rFonts w:hint="eastAsia" w:ascii="仿宋" w:hAnsi="仿宋" w:eastAsia="仿宋" w:cs="仿宋"/>
                <w:b/>
                <w:bCs/>
                <w:sz w:val="24"/>
                <w:szCs w:val="24"/>
                <w:highlight w:val="none"/>
                <w:lang w:val="zh-CN"/>
              </w:rPr>
              <w:t>（投标时须提供具有CNAS标识的第三方检测报告复印件并加盖原厂公章）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12.外壳防火等级：智能断路器外壳采用PA66+玻璃纤维等高规格防火阻燃材料、防火等级达到V0级；</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13.工作环境温度：-20℃~70℃；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14.安装地点海拔：不高于2000m；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安装方式：导轨卡口。</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二、电源及防浪涌模组</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1.输入电压：AC100V-250V；</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2.输入电流：100mA;</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3.额定输出电压：DC12V；</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4.额定输出电流MAX DC2A；</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5.防雷击浪涌保护最大泄放电流：20kA；</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6.工作环境温度：-20℃~70℃；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7.安装地点海拔：不高于2000m；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8.安装方式：导轨卡口。</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★9.须符合GB4943.1标准</w:t>
            </w:r>
            <w:r>
              <w:rPr>
                <w:rFonts w:hint="eastAsia" w:ascii="仿宋" w:hAnsi="仿宋" w:eastAsia="仿宋" w:cs="仿宋"/>
                <w:b/>
                <w:bCs/>
                <w:sz w:val="24"/>
                <w:szCs w:val="24"/>
                <w:highlight w:val="none"/>
                <w:lang w:val="zh-CN"/>
              </w:rPr>
              <w:t>（投标时须提供具有CNAS标识的第三方质检报告复印件并加盖原厂公章）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三、4G通讯模组（全网通）</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1.支持双向互联网通讯；</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2.可支持以太网、WIFI、2G、4G、NB-IoT、RS485等多种通信方式；</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3.支持向下串口通讯功能、数据计算分析存储功能；</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4.定时控制功能：内置时钟芯片，脱网状态下可保证时间的精准性，真正实现各线路定时开关变得轻松、准确；</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5.工作电压：DC12V；</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6.工作环境温度：-20℃~70℃；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7.安装地点海拔：不高于2000m；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8.安装方式：导轨卡口。</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9.设备外壳材料应采用高规格防火阻燃材料、防火等级达到V0级</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★10.具有工信部入网许可证</w:t>
            </w:r>
            <w:r>
              <w:rPr>
                <w:rFonts w:hint="eastAsia" w:ascii="仿宋" w:hAnsi="仿宋" w:eastAsia="仿宋" w:cs="仿宋"/>
                <w:b/>
                <w:bCs/>
                <w:sz w:val="24"/>
                <w:szCs w:val="24"/>
                <w:highlight w:val="none"/>
                <w:lang w:val="zh-CN"/>
              </w:rPr>
              <w:t>（投标时须提供工信部入网许可证并加盖原厂公章）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11.含4G物联网流量卡*1</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四、远程智能用电监测管理系统</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1.支持多种客户端应用，包含Web端、手机APP（IOS、Android）。</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系统功能：①具备Web端的平台显示、具备实时数据查看、远程控制、报警弹窗提示、参数设置修改等；②苹果和安卓APP，具备实时数据查看、远程控制、定时控制、功率最大设定、报警弹窗提示、电量计量及漏电自检等功能；③并发用户数与系统性能：性能设计满足项目针对该系统在用户数，响应速度，系统在线并发等性能的需要：平均响应速度：全系统按照在标准软硬件环境下允许至少200用户操作，50人并发访问流量；业务操作交易平均响应时间小于3秒钟；复杂查询类平均响应时间小于5秒；统计分析类平均响应时间小于1分钟；容量和吞吐量：系统应支持每个子系统至少50用户的同时并发；④需稳定、可靠、安全、实用。信息传递灵活快捷，人机界面友好，图表生成灵活美观，输出、输入方便，检索、查询简单快捷。</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安全与身份认证①文件存取和系统功能要进行权限控制；②提供从系统级安全到应用层安全的各级防护措施，最大限度地防止非法入侵和操作，保证数据安全；③系统必须针对不同岗位实现相关业务内容的权限管理，包括数据的收集、修改、查询、统计等操作；④具备用户行为的安全审计和防抵赖能力，提供帮助系统安全管理的安全报表。</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系统稳定性：①避免由于单点故障或系统的升级而影响整个系统的正常运行；②支持7*24小时不间断服务。单次系统故障响应时间，严重故障不得超过1小时，一般故障不超过2小时；③满足网络不稳定、后台压力较大等特殊情况下，保证软件正常运行。因软件系统自身原因宕机次数每年需少于2次；④在系统发生失效的情况下，系统应容易重建规定的性能级别并恢复受直接影响的数据；⑤当系统在高负荷运转或出现故障，进入异步工作模式时，必须采用可靠的机制，保证数据的零丢失。</w:t>
            </w:r>
          </w:p>
          <w:p>
            <w:pPr>
              <w:pStyle w:val="2"/>
              <w:spacing w:line="280" w:lineRule="exact"/>
              <w:rPr>
                <w:rFonts w:hint="eastAsia" w:ascii="仿宋" w:hAnsi="仿宋" w:eastAsia="仿宋" w:cs="仿宋"/>
                <w:sz w:val="24"/>
                <w:szCs w:val="24"/>
                <w:lang w:val="zh-CN"/>
              </w:rPr>
            </w:pPr>
            <w:r>
              <w:rPr>
                <w:rFonts w:hint="eastAsia" w:ascii="仿宋" w:hAnsi="仿宋" w:eastAsia="仿宋" w:cs="仿宋"/>
                <w:b/>
                <w:bCs/>
                <w:sz w:val="24"/>
                <w:szCs w:val="24"/>
                <w:highlight w:val="none"/>
                <w:lang w:val="zh-CN"/>
              </w:rPr>
              <w:t>★5.具有公安部安全与警用电子产品质量检测中心移动端和PC端软件测试报告（投标时须提供测试报告复印件并加盖原厂公章）。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b/>
                <w:bCs/>
                <w:sz w:val="24"/>
                <w:szCs w:val="24"/>
                <w:highlight w:val="none"/>
                <w:lang w:val="zh-CN"/>
              </w:rPr>
              <w:t>6.具有电力物联网软件著作登记证书（投标时须提供证书复印件并加盖原厂公章）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五、其他配件</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通讯延长线*1条</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2P智慧微断(漏保)</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1.额定电流：63A；带漏电保护，功率因数检测。</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2.额定电压AC230V</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★3.分断能力Icn：≥10000A</w:t>
            </w:r>
            <w:r>
              <w:rPr>
                <w:rFonts w:hint="eastAsia" w:ascii="仿宋" w:hAnsi="仿宋" w:eastAsia="仿宋" w:cs="仿宋"/>
                <w:b/>
                <w:bCs/>
                <w:sz w:val="24"/>
                <w:szCs w:val="24"/>
                <w:highlight w:val="none"/>
                <w:lang w:val="zh-CN"/>
              </w:rPr>
              <w:t>（投标时须提供3C或CQC检测报告复印件并加盖原厂公章）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4.漏电保护：线路漏电电流达到30mA时，断路器0.1s断电保护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5.短路保护：线路短路时，断路器0.04s断电保护；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6.功率限定：达到限定功率，10秒内断电保护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7.电流限定：达到限定电流，10秒内断电保护；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8.温度保护：出线端子温度超过70度预警，超过90度报警及保护；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9.过压（欠压）保护：输入电压超过263V，10S内断电保护，超过250V过压预警，低于190V欠压预警；</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10.漏电保护功能自动检测：可设置漏电保护功能每月自动检测(仅限带漏保断路器)；</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11.自动送电：漏电检测断电5s后自动送电(仅限带漏保断路器)；</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12.手自一体控制：手机遥控，可以按键自动控制，也可通过手动推杆控制通断；</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★13.故障检修功能：设备应具备本地检修模式，进入设备分闸锁定状态，远程、本地都不能合闸，检修完毕后，恢复远程模式</w:t>
            </w:r>
            <w:r>
              <w:rPr>
                <w:rFonts w:hint="eastAsia" w:ascii="仿宋" w:hAnsi="仿宋" w:eastAsia="仿宋" w:cs="仿宋"/>
                <w:b/>
                <w:bCs/>
                <w:sz w:val="24"/>
                <w:szCs w:val="24"/>
                <w:highlight w:val="none"/>
                <w:lang w:val="zh-CN"/>
              </w:rPr>
              <w:t>（投标时须提供具有CNAS标识的第三方质检报告复印件并加盖原厂公章）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★14.远程锁定功能：设备应具备远程锁定功能，进入远程锁定状态，远程、本地都禁止合闸，解除远程锁定后，恢复远程模式</w:t>
            </w:r>
            <w:r>
              <w:rPr>
                <w:rFonts w:hint="eastAsia" w:ascii="仿宋" w:hAnsi="仿宋" w:eastAsia="仿宋" w:cs="仿宋"/>
                <w:b/>
                <w:bCs/>
                <w:sz w:val="24"/>
                <w:szCs w:val="24"/>
                <w:highlight w:val="none"/>
                <w:lang w:val="zh-CN"/>
              </w:rPr>
              <w:t>（投标时须提供具有CNAS标识的第三方质检报告复印件并加盖原厂公章）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15.外壳防火等级：智能断路器外壳采用PA66+玻璃纤维等高规格防火阻燃材料、防火等级达到V0级；</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★16.产品具有地市级以上计量质量检测研究院出具的产品功能检测报告，须体现远程控制功能及功率限定功能；</w:t>
            </w:r>
            <w:r>
              <w:rPr>
                <w:rFonts w:hint="eastAsia" w:ascii="仿宋" w:hAnsi="仿宋" w:eastAsia="仿宋" w:cs="仿宋"/>
                <w:b/>
                <w:bCs/>
                <w:sz w:val="24"/>
                <w:szCs w:val="24"/>
                <w:highlight w:val="none"/>
                <w:lang w:val="zh-CN"/>
              </w:rPr>
              <w:t>（投标时须提供检测报告复印件并加盖原厂公章）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17.工作环境温度：-20℃~70℃；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18.安装地点海拔：不高于2000m；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安装方式：导轨卡口。</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1P智慧微断</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1.额定电流：20A；</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2.额定电压：AC230V；</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★3分断能力Icn：≥10000A</w:t>
            </w:r>
            <w:r>
              <w:rPr>
                <w:rFonts w:hint="eastAsia" w:ascii="仿宋" w:hAnsi="仿宋" w:eastAsia="仿宋" w:cs="仿宋"/>
                <w:b/>
                <w:bCs/>
                <w:sz w:val="24"/>
                <w:szCs w:val="24"/>
                <w:highlight w:val="none"/>
                <w:lang w:val="zh-CN"/>
              </w:rPr>
              <w:t>（</w:t>
            </w:r>
            <w:r>
              <w:rPr>
                <w:rFonts w:hint="eastAsia" w:ascii="仿宋" w:hAnsi="仿宋" w:eastAsia="仿宋" w:cs="仿宋"/>
                <w:b/>
                <w:bCs/>
                <w:i w:val="0"/>
                <w:iCs w:val="0"/>
                <w:sz w:val="24"/>
                <w:szCs w:val="24"/>
                <w:highlight w:val="none"/>
                <w:lang w:val="zh-CN"/>
              </w:rPr>
              <w:t>投标时须提供3C或CQC检测报告复印件并加盖原厂公章</w:t>
            </w:r>
            <w:r>
              <w:rPr>
                <w:rFonts w:hint="eastAsia" w:ascii="仿宋" w:hAnsi="仿宋" w:eastAsia="仿宋" w:cs="仿宋"/>
                <w:b/>
                <w:bCs/>
                <w:sz w:val="24"/>
                <w:szCs w:val="24"/>
                <w:highlight w:val="none"/>
                <w:lang w:val="zh-CN"/>
              </w:rPr>
              <w:t>）</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4.短路保护：线路短路时，断路器0.04s断电保护；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5.功率限定：达到限定功率，10秒内断电保护；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6.电流限定：达到限定电流，10秒内断电保护；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7.温度保护：出线端子温度超过70度预警，超过90度报警及保护；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8.电弧报警:当负载线路因接触不良发生连续电弧现象，并在一定时间内达到设定报警阀值时，设备可以推送报警信息；</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9.手自一体控制：手机遥控，可以按键自动控制，也可通过手动推杆控制通断；</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★10.故障检修功能：设备应具备本地检修模式，进入设备分闸锁定状态，远程、本地都不能合闸，检修完毕后，恢复远程模式</w:t>
            </w:r>
            <w:r>
              <w:rPr>
                <w:rFonts w:hint="eastAsia" w:ascii="仿宋" w:hAnsi="仿宋" w:eastAsia="仿宋" w:cs="仿宋"/>
                <w:b/>
                <w:bCs/>
                <w:sz w:val="24"/>
                <w:szCs w:val="24"/>
                <w:highlight w:val="none"/>
                <w:lang w:val="zh-CN"/>
              </w:rPr>
              <w:t>（投标时须提供具有CNAS标识的第三方质检报告复印件并加盖原厂公章）</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★11.远程锁定功能：设备应具备远程锁定功能，进入远程锁定状态，远程、本地都禁止合闸，解除远程锁定后，恢复远程模式</w:t>
            </w:r>
            <w:r>
              <w:rPr>
                <w:rFonts w:hint="eastAsia" w:ascii="仿宋" w:hAnsi="仿宋" w:eastAsia="仿宋" w:cs="仿宋"/>
                <w:b/>
                <w:bCs/>
                <w:sz w:val="24"/>
                <w:szCs w:val="24"/>
                <w:highlight w:val="none"/>
                <w:lang w:val="zh-CN"/>
              </w:rPr>
              <w:t>（投标时须提供具有CNAS标识的第三方质检报告复印件并加盖原厂公章）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12.恶性负载告警：设备应具备负载类型识别的功能，当检测到恶性负载时，可以推送报警信息，并可根据设定切断供电；</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13.外壳防火等级：智能断路器外壳采用PA66+玻璃纤维等高规格防火阻燃材料、防火等级达到V0级；</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14.工作环境温度：-20℃~70℃；</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电源线（主干）</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BV4，100米/卷，国标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电源线（插座）</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BV2.5，100米/卷，国标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电源线（灯具）</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RVV2*1.0，100米/卷，国标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电源插排</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公牛、德力西、英特曼</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六位电源插排，国标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明盒</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86明盒，，国标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PVC管</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 Φ20，国标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200</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教室环境布置</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LED灯</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雷士、欧普、飞利浦</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72W，1200*300mm LED灯，白光，含2根铝制吊杆</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16</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盏</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窗帘</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麻布加长遮光窗帘，褶皱系数1.5，颜色符合校方要求</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窗帘杆</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铝合金，国标定制</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踢脚线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304不锈钢，高度8-15cm(符合学校要求)</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50</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文化布置</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2块1㎡亚克力展板、桌贴等</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辅材</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安装调试所必须的辅材</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系统集成</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国标</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线、电源线及PVC管敷设，桥架安装，防静电地板打孔，强电空开安装，灯具安装，窗帘安装，踢脚线安装，文化布置，网络配置（根据学校要求配置IP地址并接入校园网），原计算机机房桌椅、计算机、交换机等搬运至新教室并组装、软件安装、调试达到学校认可的可用状态。原机房打扫、整理。</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二、</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（共4间，12m*12m，16-5F）</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弱电布线</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网络机柜</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一舟、图腾、华为</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600*600*1800mm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标准配置：机柜托板*4块、轴流风机*1台、普通6位PDU电源插排*1个、机柜螺丝1包，盲板若干（全封闭）。</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前钢化玻璃门后网孔门</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用料材质：优质冷轧钢板 方孔条2.0mm其余1.0mm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质量标准：符合ANSI/EIA RS-310-D、IEC297-2、DIN41491;</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PART1、DIN41494; PART7、 GB/T3047.2- 92标准;兼容ETSI标准</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表面处理：脱脂、磷化、静电喷塑</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防护等级:IP20 静载750KG</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台</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双绞线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六类非屏蔽双绞线</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1)标准：YD/T1019，ANSI∕TIA-568-C.2，ISO/IEC 11801，IEC 61156-5，IEC60332-1-2</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2)通过标准最高传输频率250MHz测试</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3)额定传输速率(NVP)：68%</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4)单根导体直流电阻：≤9.0Ω/100m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5)导体：软圆铜线、0.57mm±0.02mm，绝缘：HDPE，线对：4对</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6)屏蔽方式: F/UTP，单面复合铝箔纵包和排流线，线对采用“十”字骨架隔离</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7)护套材料：PVC或LSZH，护套外径：7.4±0.3mm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8)最小弯曲半径：安装时：10倍电缆外径，安装后：50mm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9)温度范围：安装时0℃～+50℃，运行时-20℃～+60℃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305米/箱</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箱</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网络水晶头</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六类非屏蔽网络水晶头（100只/盒）</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1)符合T568A和T568B线序</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2)结构：两件式设计，8P8C</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3)金片：三叉铜合金</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4)塑胶壳材料：聚碳酸脂，符合UL-94V-2</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5)镀金厚度：50u”</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6)适用芯线直径：0.98mm~1.05mm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7)插拔次数：≥1000次</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8)拉力测试：≥20N</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9)介质耐电压：1000VAC/60S</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10)工作环境温度：-10℃～+60℃</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盒</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六类成品跳线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1)标准：YD/T 926.3，ISO/IEC 11801，ANSI/TIA - 568-C.2</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2)原厂成型，100%测试，具有更高的可靠性和传输性能</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3)2米/根</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4)导体: 多股绞合，软圆铜线</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5)导体线规：24AWG</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6)屏蔽方式: U/UTP</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7)护套材料：PVC，护套外径：6.0±0.3mm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8)插头: RJ45，8P8C</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9)插头护套： PVC</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10)塑胶壳：透明聚碳酸酯</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11)簧片材料：铜表面镀金</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12)插拔次数：≥1000次</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13)最高传输频率：250MHz</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14)工作环境温度：-10℃～+60℃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15)符合TIA-EIA-568-C.2-2009标准的单体性能要求</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248</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网络配线架</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六类非屏蔽网络配线架</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1)标准：YD/T 926.3，ISO/IEC 11801，TIA /EIA- 568-C.2 </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2)标准19英寸机架式安装，高度：1U，采用全塑料面板，金属底板结构，外形美观，机械强度高</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3)端口数量：24口，采用整体式设计，6口插座为一组</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4)卡线座印有色标，方便施工和检验</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5)完善清晰的标识系统，自带标识纸和标识盖</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6)IDC：磷青铜</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7)金针：磷青铜表面镀金</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8)线缆保护盖：PC 材料</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9)进线方式：180°进线</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10)卡接导体规格：0.5mm～0.65mm，24AWG~22AWG</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11)打线方式：568A/568B</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12)插头与插座插合次数：≥1000次</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13)导线端接次数：≥250次</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14)最高传输频率：100MHz</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15)工作环境温度：-10℃～+60℃</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理线架</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1、标准 19”机架式安装，高度：1U，深度：75mm SPCC 冷轧钢板表面脱脂、磷化、静电喷塑处理，机械强度高 上下各 12 档，23mm 超宽理线档距，为高性能线缆提供更大的空间</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2、盖板采用卡扣式设计可单边开启无需拆下盖板也可跳线，便于操作带有贯穿孔，便于前后走线和冗余线缆的存放</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3、厚度：架体 1.2mm 、盖板 1.0mm</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弱电桥架</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天虹、隆鑫、华鹏</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100*100mm镀锌、国标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120</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单模光纤跳线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产品类型LC-LC E2000 MTRL</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插入耗损（dB） ≤0.20 ≤0.20 ＜0.10 ≤0.20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最大插入耗损（dB） 0.2 0.2 0.15 0.3</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插入回波耗损（dB） ≥50 ≥50 ＞55 ≥50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重复性（dB） ≤0.10 ≤0.10 ＜0.10 ≤0.10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互换性（dB） ≤0.15 ≤0.15 ≤0.15 ≤0.15</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光纤类别 G652；G655单模光纤等</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工作温度（℃） -40~+70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插拨次数 ≥500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光缆长度（M） 3、5、7、10等用户可自定长度</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采用标准 符合Telcordia、ANSI、IEC、TIA/EIA、NTT和IS标准</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单模光纤模块</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H3C、华为、锐捷</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SFP-GE-LX-SM1310-A，千兆单模光模块1310nm/10km/1G</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强电布线</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物联网智能总开</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一、3P智慧微断模组</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1.额定电流：80A；带功率因数检测.</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2.额定电压：AC380V；</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★3.分断能力Icn：≥10000A</w:t>
            </w:r>
            <w:r>
              <w:rPr>
                <w:rFonts w:hint="eastAsia" w:ascii="仿宋" w:hAnsi="仿宋" w:eastAsia="仿宋" w:cs="仿宋"/>
                <w:b/>
                <w:bCs/>
                <w:sz w:val="24"/>
                <w:szCs w:val="24"/>
                <w:highlight w:val="none"/>
                <w:lang w:val="zh-CN"/>
              </w:rPr>
              <w:t>（投标时须提供3C或CQC检测报告复印件并加盖原厂公章）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4.短路保护：线路短路时，断路器0.04s断电保护；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5.功率限定：达到限定功率，10秒内断电保护；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6.电流限定：达到限定电流，10秒内断电保护；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7.温度保护：出线端子温度超过70度预警，超过90度报警及保护；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8.过压（欠压）保护：当三相电中任意单相电输入电压超过263V，10S内断电保护，超过250V过压预警，低于190V欠压预警；</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9.手自一体控制：手机遥控，可以按键自动控制，也可通过手动推杆控制通断；</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★10.故障检修功能：设备应具备本地检修模式，进入设备分闸锁定状态，远程、本地都不能合闸，检修完毕后，恢复远程模式；（</w:t>
            </w:r>
            <w:r>
              <w:rPr>
                <w:rFonts w:hint="eastAsia" w:ascii="仿宋" w:hAnsi="仿宋" w:eastAsia="仿宋" w:cs="仿宋"/>
                <w:b/>
                <w:bCs/>
                <w:sz w:val="24"/>
                <w:szCs w:val="24"/>
                <w:highlight w:val="none"/>
                <w:lang w:val="zh-CN"/>
              </w:rPr>
              <w:t>投标时须提供具有CNAS标识的第三方检测报告复印件并加盖原厂公章</w:t>
            </w:r>
            <w:r>
              <w:rPr>
                <w:rFonts w:hint="eastAsia" w:ascii="仿宋" w:hAnsi="仿宋" w:eastAsia="仿宋" w:cs="仿宋"/>
                <w:sz w:val="24"/>
                <w:szCs w:val="24"/>
                <w:lang w:val="zh-CN"/>
              </w:rPr>
              <w:t>）</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★11.远程锁定功能：设备应具备远程锁定功能，进入远程锁定状态，远程、本地都禁止合闸，解除远程锁定后，恢复远程模式</w:t>
            </w:r>
            <w:r>
              <w:rPr>
                <w:rFonts w:hint="eastAsia" w:ascii="仿宋" w:hAnsi="仿宋" w:eastAsia="仿宋" w:cs="仿宋"/>
                <w:b/>
                <w:bCs/>
                <w:sz w:val="24"/>
                <w:szCs w:val="24"/>
                <w:highlight w:val="none"/>
                <w:lang w:val="zh-CN"/>
              </w:rPr>
              <w:t>（投标时须提供具有CNAS标识的第三方检测报告复印件并加盖原厂公章）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12.外壳防火等级：智能断路器外壳采用PA66+玻璃纤维等高规格防火阻燃材料、防火等级达到V0级；</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13.工作环境温度：-20℃~70℃；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14.安装地点海拔：不高于2000m；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安装方式：导轨卡口。</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二、电源及防浪涌模组</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1.输入电压：AC100V-250V；</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2.输入电流：100mA;</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3.额定输出电压：DC12V；</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4.额定输出电流MAX DC2A；</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5.防雷击浪涌保护最大泄放电流：20kA；</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6.工作环境温度：-20℃~70℃；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7.安装地点海拔：不高于2000m；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8.安装方式：导轨卡口。</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★9.须符合GB4943.1标准</w:t>
            </w:r>
            <w:r>
              <w:rPr>
                <w:rFonts w:hint="eastAsia" w:ascii="仿宋" w:hAnsi="仿宋" w:eastAsia="仿宋" w:cs="仿宋"/>
                <w:b/>
                <w:bCs/>
                <w:sz w:val="24"/>
                <w:szCs w:val="24"/>
                <w:highlight w:val="none"/>
                <w:lang w:val="zh-CN"/>
              </w:rPr>
              <w:t>（投标时须提供具有CNAS标识的第三方质检报告复印件并加盖原厂公章）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三、4G通讯模组（全网通）</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1.支持双向互联网通讯；</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2.可支持以太网、WIFI、2G、4G、NB-IoT、RS485等多种通信方式；</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3.支持向下串口通讯功能、数据计算分析存储功能；</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4.定时控制功能：内置时钟芯片，脱网状态下可保证时间的精准性，真正实现各线路定时开关变得轻松、准确；</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5.工作电压：DC12V；</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6.工作环境温度：-20℃~70℃；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7.安装地点海拔：不高于2000m；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8.安装方式：导轨卡口。</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9.设备外壳材料应采用高规格防火阻燃材料、防火等级达到V0级</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★10.具有工信部入网许可证</w:t>
            </w:r>
            <w:r>
              <w:rPr>
                <w:rFonts w:hint="eastAsia" w:ascii="仿宋" w:hAnsi="仿宋" w:eastAsia="仿宋" w:cs="仿宋"/>
                <w:b/>
                <w:bCs/>
                <w:sz w:val="24"/>
                <w:szCs w:val="24"/>
                <w:highlight w:val="none"/>
                <w:lang w:val="zh-CN"/>
              </w:rPr>
              <w:t>（投标时须提供工信部入网许可证并加盖原厂公章）</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11.含4G物联网流量卡*1</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四、远程智能用电监测管理系统</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1.支持多种客户端应用，包含Web端、手机APP（IOS、Android）。</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系统功能：①具备Web端的平台显示、具备实时数据查看、远程控制、报警弹窗提示、参数设置修改等；②苹果和安卓APP，具备实时数据查看、远程控制、定时控制、功率最大设定、报警弹窗提示、电量计量及漏电自检等功能；③并发用户数与系统性能：性能设计满足项目针对该系统在用户数，响应速度，系统在线并发等性能的需要：平均响应速度：全系统按照在标准软硬件环境下允许至少200用户操作，50人并发访问流量；业务操作交易平均响应时间小于3秒钟；复杂查询类平均响应时间小于5秒；统计分析类平均响应时间小于1分钟；容量和吞吐量：系统应支持每个子系统至少50用户的同时并发；④需稳定、可靠、安全、实用。信息传递灵活快捷，人机界面友好，图表生成灵活美观，输出、输入方便，检索、查询简单快捷。</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安全与身份认证①文件存取和系统功能要进行权限控制；②提供从系统级安全到应用层安全的各级防护措施，最大限度地防止非法入侵和操作，保证数据安全；③系统必须针对不同岗位实现相关业务内容的权限管理，包括数据的收集、修改、查询、统计等操作；④具备用户行为的安全审计和防抵赖能力，提供帮助系统安全管理的安全报表。</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系统稳定性：①避免由于单点故障或系统的升级而影响整个系统的正常运行；②支持7*24小时不间断服务。单次系统故障响应时间，严重故障不得超过1小时，一般故障不超过2小时；③满足网络不稳定、后台压力较大等特殊情况下，保证软件正常运行。因软件系统自身原因宕机次数每年需少于2次；④在系统发生失效的情况下，系统应容易重建规定的性能级别并恢复受直接影响的数据；⑤当系统在高负荷运转或出现故障，进入异步工作模式时，必须采用可靠的机制，保证数据的零丢失。</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★5.具有公安部安全与警用电子产品质量检测中心移动端和PC端软件测试报告（</w:t>
            </w:r>
            <w:r>
              <w:rPr>
                <w:rFonts w:hint="eastAsia" w:ascii="仿宋" w:hAnsi="仿宋" w:eastAsia="仿宋" w:cs="仿宋"/>
                <w:b/>
                <w:bCs/>
                <w:sz w:val="24"/>
                <w:szCs w:val="24"/>
                <w:highlight w:val="none"/>
                <w:lang w:val="zh-CN"/>
              </w:rPr>
              <w:t>投标时须提供测试报告复印件并加盖原厂公章）。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★6.具有电力物联网软件著作登记证书</w:t>
            </w:r>
            <w:r>
              <w:rPr>
                <w:rFonts w:hint="eastAsia" w:ascii="仿宋" w:hAnsi="仿宋" w:eastAsia="仿宋" w:cs="仿宋"/>
                <w:b/>
                <w:bCs/>
                <w:sz w:val="24"/>
                <w:szCs w:val="24"/>
                <w:highlight w:val="none"/>
                <w:lang w:val="zh-CN"/>
              </w:rPr>
              <w:t>（投标时须提供证书复印件并加盖原厂公章）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五、其他配件</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通讯延长线*1条</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2P智慧微断(漏保)</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1.额定电流：63A；带漏电保护，功率因数检测。</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2.额定电压AC230V</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★3.分断能力Icn：≥10000A</w:t>
            </w:r>
            <w:r>
              <w:rPr>
                <w:rFonts w:hint="eastAsia" w:ascii="仿宋" w:hAnsi="仿宋" w:eastAsia="仿宋" w:cs="仿宋"/>
                <w:b/>
                <w:bCs/>
                <w:sz w:val="24"/>
                <w:szCs w:val="24"/>
                <w:highlight w:val="none"/>
                <w:lang w:val="zh-CN"/>
              </w:rPr>
              <w:t>（投标时须提供3C或CQC检测报告复印件并加盖原厂公章）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4.漏电保护：线路漏电电流达到30mA时，断路器0.1s断电保护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5.短路保护：线路短路时，断路器0.04s断电保护；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6.功率限定：达到限定功率，10秒内断电保护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7.电流限定：达到限定电流，10秒内断电保护；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8.温度保护：出线端子温度超过70度预警，超过90度报警及保护；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9.过压（欠压）保护：输入电压超过263V，10S内断电保护，超过250V过压预警，低于190V欠压预警；</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10.漏电保护功能自动检测：可设置漏电保护功能每月自动检测(仅限带漏保断路器)；</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11.自动送电：漏电检测断电5s后自动送电(仅限带漏保断路器)；</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12.手自一体控制：手机遥控，可以按键自动控制，也可通过手动推杆控制通断；</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★13.故障检修功能：设备应具备本地检修模式，进入设备分闸锁定状态，远程、本地都不能合闸，检修完毕后，恢复远程模式</w:t>
            </w:r>
            <w:r>
              <w:rPr>
                <w:rFonts w:hint="eastAsia" w:ascii="仿宋" w:hAnsi="仿宋" w:eastAsia="仿宋" w:cs="仿宋"/>
                <w:b/>
                <w:bCs/>
                <w:sz w:val="24"/>
                <w:szCs w:val="24"/>
                <w:highlight w:val="none"/>
                <w:lang w:val="zh-CN"/>
              </w:rPr>
              <w:t>（投标时须提供具有CNAS标识的第三方质检报告复印件并加盖原厂公章）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★14.远程锁定功能：设备应具备远程锁定功能，进入远程锁定状态，远程、本地都禁止合闸，解除远程锁定后，恢复远程模式</w:t>
            </w:r>
            <w:r>
              <w:rPr>
                <w:rFonts w:hint="eastAsia" w:ascii="仿宋" w:hAnsi="仿宋" w:eastAsia="仿宋" w:cs="仿宋"/>
                <w:b/>
                <w:bCs/>
                <w:sz w:val="24"/>
                <w:szCs w:val="24"/>
                <w:highlight w:val="none"/>
                <w:lang w:val="zh-CN"/>
              </w:rPr>
              <w:t>（投标时须提供具有CNAS标识的第三方质检报告复印件并加盖原厂公章）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15.外壳防火等级：智能断路器外壳采用PA66+玻璃纤维等高规格防火阻燃材料、防火等级达到V0级；</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★16.产品具有地市级以上计量质量检测研究院出具的产品功能检测报告，须体现远程控制功能及功率限定功能；</w:t>
            </w:r>
            <w:r>
              <w:rPr>
                <w:rFonts w:hint="eastAsia" w:ascii="仿宋" w:hAnsi="仿宋" w:eastAsia="仿宋" w:cs="仿宋"/>
                <w:b/>
                <w:bCs/>
                <w:sz w:val="24"/>
                <w:szCs w:val="24"/>
                <w:highlight w:val="none"/>
                <w:lang w:val="zh-CN"/>
              </w:rPr>
              <w:t>（投标时须提供检测报告复印件并加盖原厂公章）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17.工作环境温度：-20℃~70℃；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18.安装地点海拔：不高于2000m；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安装方式：导轨卡口。</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1P智慧微断</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1.额定电流：20A；</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2.额定电压：AC230V；</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★3分断能力Icn：≥10000A</w:t>
            </w:r>
            <w:r>
              <w:rPr>
                <w:rFonts w:hint="eastAsia" w:ascii="仿宋" w:hAnsi="仿宋" w:eastAsia="仿宋" w:cs="仿宋"/>
                <w:b/>
                <w:bCs/>
                <w:sz w:val="24"/>
                <w:szCs w:val="24"/>
                <w:highlight w:val="none"/>
                <w:lang w:val="zh-CN"/>
              </w:rPr>
              <w:t>（投标时须提供3C或CQC检测报告复印件并加盖原厂公章）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4.短路保护：线路短路时，断路器0.04s断电保护；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5.功率限定：达到限定功率，10秒内断电保护；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6.电流限定：达到限定电流，10秒内断电保护；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7.温度保护：出线端子温度超过70度预警，超过90度报警及保护；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8.电弧报警:当负载线路因接触不良发生连续电弧现象，并在一定时间内达到设定报警阀值时，设备可以推送报警信息；</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9.手自一体控制：手机遥控，可以按键自动控制，也可通过手动推杆控制通断；</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★10.故障检修功能：设备应具备本地检修模式，进入设备分闸锁定状态，远程、本地都不能合闸，检修完毕后，恢复远程模式</w:t>
            </w:r>
            <w:r>
              <w:rPr>
                <w:rFonts w:hint="eastAsia" w:ascii="仿宋" w:hAnsi="仿宋" w:eastAsia="仿宋" w:cs="仿宋"/>
                <w:b/>
                <w:bCs/>
                <w:sz w:val="24"/>
                <w:szCs w:val="24"/>
                <w:highlight w:val="none"/>
                <w:lang w:val="zh-CN"/>
              </w:rPr>
              <w:t>（投标时须提供具有CNAS标识的第三方质检报告复印件并加盖原厂公章）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★11.远程锁定功能：设备应具备远程锁定功能，进入远程锁定状态，远程、本地都禁止合闸，解除远程锁定后，恢复远程模式</w:t>
            </w:r>
            <w:r>
              <w:rPr>
                <w:rFonts w:hint="eastAsia" w:ascii="仿宋" w:hAnsi="仿宋" w:eastAsia="仿宋" w:cs="仿宋"/>
                <w:b/>
                <w:bCs/>
                <w:sz w:val="24"/>
                <w:szCs w:val="24"/>
                <w:highlight w:val="none"/>
                <w:lang w:val="zh-CN"/>
              </w:rPr>
              <w:t>（投标时须提供具有CNAS标识的第三方质检报告复印件并加盖原厂公章）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12.恶性负载告警：设备应具备负载类型识别的功能，当检测到恶性负载时，可以推送报警信息，并可根据设定切断供电；</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13.外壳防火等级：智能断路器外壳采用PA66+玻璃纤维等高规格防火阻燃材料、防火等级达到V0级；</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14.工作环境温度：-20℃~70℃；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15.安装地点海拔：不高于2000m；</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电源线（主干）</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BV4，100米/卷，国标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电源线（插座）</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BV2.5，100米/卷，国标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电源线（灯具）</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RVV2*1.0，100米/卷，国标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电源插排</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公牛、德力西、英特曼</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六位电源插排，国标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明盒</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86明盒，，国标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PVC管</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 Φ20，国标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800</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教室环境布置</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LED灯</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雷士、欧普、飞利浦</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72W，1200*300mm LED灯，白光，含2根铝制吊杆</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盏</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防静电地板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方飞、汇丽、中天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白聚晶陶瓷面架空防静电地板600*600*40mm，上钢板0.28mm、下钢板0.33mm，地板贴面：1.0mm；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白聚晶玻化砖贴面：集中载荷≥2940N、均布载荷≥14700N/㎡、极限集中载荷≥8820N；</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支架，上托规格68*68*3.0mm，86*86*2.0mm，管径25mm，表面镀锌防锈处理；横梁：570*22*26mm，壁厚0.8mm</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576</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窗帘</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麻布加长遮光窗帘，褶皱系数1.5，颜色符合校方要求</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96</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窗帘杆</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铝合金，国标定制</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48</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踢脚线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304不锈钢，高度8-15cm(符合学校要求)</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192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文化布置</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2块1㎡亚克力展板、桌贴等</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辅材</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安装调试所必须的辅材</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系统集成</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国标</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线、电源线及PVC管敷设，桥架安装，防静电地板铺设，强电空开安装，灯具安装，窗帘安装，踢脚线安装，文化布置，网络配置（根据学校要求配置IP地址并接入校园网），原计算机机房桌椅、计算机、交换机等搬运至新教室并组装、软件安装、调试达到学校认可的可用状态。原机房打扫、整理。</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三、</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（共1间，24m*12m，16-6F）</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弱电布线</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jc w:val="center"/>
              <w:rPr>
                <w:rFonts w:hint="eastAsia" w:ascii="仿宋" w:hAnsi="仿宋" w:eastAsia="仿宋" w:cs="仿宋"/>
                <w:color w:val="000000"/>
                <w:kern w:val="2"/>
                <w:sz w:val="24"/>
                <w:szCs w:val="24"/>
                <w:lang w:val="zh-CN"/>
              </w:rPr>
            </w:pPr>
            <w:r>
              <w:rPr>
                <w:rFonts w:hint="eastAsia" w:ascii="仿宋" w:hAnsi="仿宋" w:eastAsia="仿宋" w:cs="仿宋"/>
                <w:color w:val="000000"/>
                <w:kern w:val="2"/>
                <w:sz w:val="24"/>
                <w:szCs w:val="24"/>
                <w:lang w:val="zh-CN"/>
              </w:rPr>
              <w:t>1</w:t>
            </w:r>
          </w:p>
        </w:tc>
        <w:tc>
          <w:tcPr>
            <w:tcW w:w="1100" w:type="dxa"/>
            <w:shd w:val="clear" w:color="auto" w:fill="auto"/>
            <w:vAlign w:val="center"/>
          </w:tcPr>
          <w:p>
            <w:pPr>
              <w:jc w:val="center"/>
              <w:rPr>
                <w:rFonts w:hint="eastAsia" w:ascii="仿宋" w:hAnsi="仿宋" w:eastAsia="仿宋" w:cs="仿宋"/>
                <w:color w:val="000000"/>
                <w:kern w:val="2"/>
                <w:sz w:val="24"/>
                <w:szCs w:val="24"/>
                <w:lang w:val="zh-CN"/>
              </w:rPr>
            </w:pPr>
            <w:r>
              <w:rPr>
                <w:rFonts w:hint="eastAsia" w:ascii="仿宋" w:hAnsi="仿宋" w:eastAsia="仿宋" w:cs="仿宋"/>
                <w:color w:val="000000"/>
                <w:kern w:val="2"/>
                <w:sz w:val="24"/>
                <w:szCs w:val="24"/>
                <w:lang w:val="zh-CN"/>
              </w:rPr>
              <w:t>网络机柜</w:t>
            </w:r>
          </w:p>
        </w:tc>
        <w:tc>
          <w:tcPr>
            <w:tcW w:w="1092" w:type="dxa"/>
            <w:shd w:val="clear" w:color="auto" w:fill="auto"/>
            <w:vAlign w:val="center"/>
          </w:tcPr>
          <w:p>
            <w:pPr>
              <w:jc w:val="center"/>
              <w:rPr>
                <w:rFonts w:hint="eastAsia" w:ascii="仿宋" w:hAnsi="仿宋" w:eastAsia="仿宋" w:cs="仿宋"/>
                <w:color w:val="000000"/>
                <w:kern w:val="2"/>
                <w:sz w:val="24"/>
                <w:szCs w:val="24"/>
                <w:lang w:val="zh-CN"/>
              </w:rPr>
            </w:pPr>
            <w:r>
              <w:rPr>
                <w:rFonts w:hint="eastAsia" w:ascii="仿宋" w:hAnsi="仿宋" w:eastAsia="仿宋" w:cs="仿宋"/>
                <w:color w:val="000000"/>
                <w:kern w:val="2"/>
                <w:sz w:val="24"/>
                <w:szCs w:val="24"/>
                <w:lang w:val="zh-CN"/>
              </w:rPr>
              <w:t>一舟、图腾、华为</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600*600*1800mm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标准配置：机柜托板*4块、轴流风机*1台、普通6位PDU电源插排*1个、机柜螺丝1包，盲板若干（全封闭）。</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前钢化玻璃门后网孔门</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用料材质：优质冷轧钢板 方孔条2.0mm其余1.0mm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质量标准：符合ANSI/EIA RS-310-D、IEC297-2、DIN41491;</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PART1、DIN41494; PART7、 GB/T3047.2- 92标准;兼容ETSI标准</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表面处理：脱脂、磷化、静电喷塑</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防护等级:IP20 静载750KG</w:t>
            </w:r>
          </w:p>
        </w:tc>
        <w:tc>
          <w:tcPr>
            <w:tcW w:w="531" w:type="dxa"/>
            <w:shd w:val="clear" w:color="auto" w:fill="auto"/>
            <w:vAlign w:val="center"/>
          </w:tcPr>
          <w:p>
            <w:pPr>
              <w:jc w:val="center"/>
              <w:rPr>
                <w:rFonts w:hint="eastAsia" w:ascii="仿宋" w:hAnsi="仿宋" w:eastAsia="仿宋" w:cs="仿宋"/>
                <w:color w:val="000000"/>
                <w:kern w:val="2"/>
                <w:sz w:val="24"/>
                <w:szCs w:val="24"/>
                <w:lang w:val="zh-CN"/>
              </w:rPr>
            </w:pPr>
            <w:r>
              <w:rPr>
                <w:rFonts w:hint="eastAsia" w:ascii="仿宋" w:hAnsi="仿宋" w:eastAsia="仿宋" w:cs="仿宋"/>
                <w:color w:val="000000"/>
                <w:kern w:val="2"/>
                <w:sz w:val="24"/>
                <w:szCs w:val="24"/>
                <w:lang w:val="zh-CN"/>
              </w:rPr>
              <w:t>2</w:t>
            </w:r>
          </w:p>
        </w:tc>
        <w:tc>
          <w:tcPr>
            <w:tcW w:w="505" w:type="dxa"/>
            <w:shd w:val="clear" w:color="auto" w:fill="auto"/>
            <w:vAlign w:val="center"/>
          </w:tcPr>
          <w:p>
            <w:pPr>
              <w:jc w:val="center"/>
              <w:rPr>
                <w:rFonts w:hint="eastAsia" w:ascii="仿宋" w:hAnsi="仿宋" w:eastAsia="仿宋" w:cs="仿宋"/>
                <w:color w:val="000000"/>
                <w:kern w:val="2"/>
                <w:sz w:val="24"/>
                <w:szCs w:val="24"/>
                <w:lang w:val="zh-CN"/>
              </w:rPr>
            </w:pPr>
            <w:r>
              <w:rPr>
                <w:rFonts w:hint="eastAsia" w:ascii="仿宋" w:hAnsi="仿宋" w:eastAsia="仿宋" w:cs="仿宋"/>
                <w:color w:val="000000"/>
                <w:kern w:val="2"/>
                <w:sz w:val="24"/>
                <w:szCs w:val="24"/>
                <w:lang w:val="zh-CN"/>
              </w:rPr>
              <w:t>台</w:t>
            </w:r>
          </w:p>
        </w:tc>
        <w:tc>
          <w:tcPr>
            <w:tcW w:w="396" w:type="dxa"/>
            <w:shd w:val="clear" w:color="auto" w:fill="auto"/>
            <w:vAlign w:val="center"/>
          </w:tcPr>
          <w:p>
            <w:pPr>
              <w:jc w:val="center"/>
              <w:rPr>
                <w:rFonts w:hint="eastAsia" w:ascii="仿宋" w:hAnsi="仿宋" w:eastAsia="仿宋" w:cs="仿宋"/>
                <w:color w:val="000000"/>
                <w:kern w:val="2"/>
                <w:sz w:val="24"/>
                <w:szCs w:val="24"/>
                <w:lang w:val="zh-CN"/>
              </w:rPr>
            </w:pPr>
            <w:r>
              <w:rPr>
                <w:rFonts w:hint="eastAsia" w:ascii="仿宋" w:hAnsi="仿宋" w:eastAsia="仿宋" w:cs="仿宋"/>
                <w:color w:val="000000"/>
                <w:kern w:val="2"/>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10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双绞线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六类非屏蔽双绞线</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1)标准：YD/T1019，ANSI∕TIA-568-C.2，ISO/IEC 11801，IEC 61156-5，IEC60332-1-2</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2)通过标准最高传输频率250MHz测试</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3)额定传输速率(NVP)：68%</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4)单根导体直流电阻：≤9.0Ω/100m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5)导体：软圆铜线、0.57mm±0.02mm，绝缘：HDPE，线对：4对</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6)屏蔽方式: F/UTP，单面复合铝箔纵包和排流线，线对采用“十”字骨架隔离</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7)护套材料：PVC或LSZH，护套外径：7.4±0.3mm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8)最小弯曲半径：安装时：10倍电缆外径，安装后：50mm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9)温度范围：安装时0℃～+50℃，运行时-20℃～+60℃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305米/箱</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箱</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10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网络水晶头</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六类非屏蔽网络水晶头（100只/盒）</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1)符合T568A和T568B线序</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2)结构：两件式设计，8P8C</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3)金片：三叉铜合金</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4)塑胶壳材料：聚碳酸脂，符合UL-94V-2</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5)镀金厚度：50u”</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6)适用芯线直径：0.98mm~1.05mm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7)插拔次数：≥1000次</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8)拉力测试：≥20N</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9)介质耐电压：1000VAC/60S</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10)工作环境温度：-10℃～+60℃</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盒</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10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六类成品跳线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1)标准：YD/T 926.3，ISO/IEC 11801，ANSI/TIA - 568-C.2</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2)原厂成型，100%测试，具有更高的可靠性和传输性能</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3)2米/根</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4)导体: 多股绞合，软圆铜线</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5)导体线规：24AWG</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6)屏蔽方式: U/UTP</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7)护套材料：PVC，护套外径：6.0±0.3mm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8)插头: RJ45，8P8C</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9)插头护套： PVC</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10)塑胶壳：透明聚碳酸酯</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11)簧片材料：铜表面镀金</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12)插拔次数：≥1000次</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13)最高传输频率：250MHz</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14)工作环境温度：-10℃～+60℃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15)符合TIA-EIA-568-C.2-2009标准的单体性能要求</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网络配线架</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六类非屏蔽网络配线架</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1)标准：YD/T 926.3，ISO/IEC 11801，TIA /EIA- 568-C.2 </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2)标准19英寸机架式安装，高度：1U，采用全塑料面板，金属底板结构，外形美观，机械强度高</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3)端口数量：24口，采用整体式设计，6口插座为一组</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4)卡线座印有色标，方便施工和检验</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5)完善清晰的标识系统，自带标识纸和标识盖</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6)IDC：磷青铜</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7)金针：磷青铜表面镀金</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8)线缆保护盖：PC 材料</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9)进线方式：180°进线</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10)卡接导体规格：0.5mm～0.65mm，24AWG~22AWG</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11)打线方式：568A/568B</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12)插头与插座插合次数：≥1000次</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13)导线端接次数：≥250次</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14)最高传输频率：100MHz</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15)工作环境温度：-10℃～+60℃</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理线架</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1、标准 19”机架式安装，高度：1U，深度：75mm SPCC 冷轧钢板表面脱脂、磷化、静电喷塑处理，机械强度高 上下各 12 档，23mm 超宽理线档距，为高性能线缆提供更大的空间</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2、盖板采用卡扣式设计可单边开启无需拆下盖板也可跳线，便于操作带有贯穿孔，便于前后走线和冗余线缆的存放</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3、厚度：架体 1.2mm 、盖板 1.0mm</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弱电桥架</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天虹、隆鑫、华鹏</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100*100mm镀锌、国标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60</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单模光纤跳线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产品类型LC-LC E2000 MTRL</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插入耗损（dB） ≤0.20 ≤0.20 ＜0.10 ≤0.20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最大插入耗损（dB） 0.2 0.2 0.15 0.3</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插入回波耗损（dB） ≥50 ≥50 ＞55 ≥50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重复性（dB） ≤0.10 ≤0.10 ＜0.10 ≤0.10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互换性（dB） ≤0.15 ≤0.15 ≤0.15 ≤0.15</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光纤类别 G652；G655单模光纤等</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工作温度（℃） -40~+70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插拨次数 ≥500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光缆长度（M） 3、5、7、10等用户可自定长度</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采用标准 符合Telcordia、ANSI、IEC、TIA/EIA、NTT和IS标准</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单模光纤模块</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华为、H3C、锐捷</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SFP-GE-LX-SM1310-A，千兆单模光模块1310nm/10km/1G</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半球监控</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海康、大华、天地伟业</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1、400万1/2.7英寸CMOS网络红外半球，支持POE；</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2、1路100/1000M以太网接口（RJ45接口）；1路电源返送接口；1个SD卡插槽，1个硬件恢复默认按钮；1个RS-232接口、1个RS-485接口；</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3、2.8 mm，水平视场角：103°，垂直视场角：55°，对角视场角：122°；</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4、抓拍图片分辨率（像素数）检验：2688× 1520；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5、在WEB界面上，可通过在画面中鼠标选取画面的大小，画出的框里会显示当前像素值；</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6、支持智能方案无缝切换功能，可通过菜单进行各智能方案切换配置，切换过程无需重启设备；</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7、设备在H.264或H.265编码方式时，开启智能编码功能和不开启智能编码相比，码流节约9/10；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8、最低照度检验，关闭红外灯：彩色：≤0.001lx，黑白：≤0.0001lx；</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9、可识别距样机50m处的人体轮廓；10、可将视频图像存储至SD卡或客户端，支持SD卡热插拔，最大支持128GB SD卡；</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11、通过客户端软件或IE浏览器登录样机时，如密码输入错误次数超过设定值，样机可给出报警，并锁定用户。</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12、接入学院大华教学视频监控平台</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强电布线</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配电箱</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24回路、面板材质冷轧钢板，负载总电流100A，外壳防护等级IP30</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物联网智能总开</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一、3P智慧微断模组</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1.额定电流：80A；带功率因数检测.</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2.额定电压：AC380V；</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★3.分断能力Icn：≥10000A</w:t>
            </w:r>
            <w:r>
              <w:rPr>
                <w:rFonts w:hint="eastAsia" w:ascii="仿宋" w:hAnsi="仿宋" w:eastAsia="仿宋" w:cs="仿宋"/>
                <w:b/>
                <w:bCs/>
                <w:sz w:val="24"/>
                <w:szCs w:val="24"/>
                <w:highlight w:val="none"/>
                <w:lang w:val="zh-CN"/>
              </w:rPr>
              <w:t>（投标时须提供3C或CQC检测报告复印件并加盖原厂公章）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4.短路保护：线路短路时，断路器0.04s断电保护；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5.功率限定：达到限定功率，10秒内断电保护；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6.电流限定：达到限定电流，10秒内断电保护；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7.温度保护：出线端子温度超过70度预警，超过90度报警及保护；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8.过压（欠压）保护：当三相电中任意单相电输入电压超过263V，10S内断电保护，超过250V过压预警，低于190V欠压预警；</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9.手自一体控制：手机遥控，可以按键自动控制，也可通过手动推杆控制通断；</w:t>
            </w:r>
          </w:p>
          <w:p>
            <w:pPr>
              <w:pStyle w:val="2"/>
              <w:spacing w:line="280" w:lineRule="exact"/>
              <w:rPr>
                <w:rFonts w:hint="eastAsia" w:ascii="仿宋" w:hAnsi="仿宋" w:eastAsia="仿宋" w:cs="仿宋"/>
                <w:sz w:val="24"/>
                <w:szCs w:val="24"/>
                <w:highlight w:val="none"/>
                <w:lang w:val="zh-CN"/>
              </w:rPr>
            </w:pPr>
            <w:r>
              <w:rPr>
                <w:rFonts w:hint="eastAsia" w:ascii="仿宋" w:hAnsi="仿宋" w:eastAsia="仿宋" w:cs="仿宋"/>
                <w:sz w:val="24"/>
                <w:szCs w:val="24"/>
                <w:lang w:val="zh-CN"/>
              </w:rPr>
              <w:t>★10.故障检修功能：设备应具备本地检修模式，进入设备分闸锁定状态，远程、本地都不能合闸，检修完毕后，恢复远程模式；</w:t>
            </w:r>
            <w:r>
              <w:rPr>
                <w:rFonts w:hint="eastAsia" w:ascii="仿宋" w:hAnsi="仿宋" w:eastAsia="仿宋" w:cs="仿宋"/>
                <w:b/>
                <w:bCs/>
                <w:sz w:val="24"/>
                <w:szCs w:val="24"/>
                <w:highlight w:val="none"/>
                <w:lang w:val="zh-CN"/>
              </w:rPr>
              <w:t>（投标时须提供具有CNAS标识的第三方检测报告复印件并加盖原厂公章）</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★11.远程锁定功能：设备应具备远程锁定功能，进入远程锁定状态，远程、本地都禁止合闸，解除远程锁定后，恢复远程模式</w:t>
            </w:r>
            <w:r>
              <w:rPr>
                <w:rFonts w:hint="eastAsia" w:ascii="仿宋" w:hAnsi="仿宋" w:eastAsia="仿宋" w:cs="仿宋"/>
                <w:b/>
                <w:bCs/>
                <w:sz w:val="24"/>
                <w:szCs w:val="24"/>
                <w:highlight w:val="none"/>
                <w:lang w:val="zh-CN"/>
              </w:rPr>
              <w:t>（投标时须提供具有CNAS标识的第三方检测报告复印件并加盖原厂公章）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12.外壳防火等级：智能断路器外壳采用PA66+玻璃纤维等高规格防火阻燃材料、防火等级达到V0级；</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13.工作环境温度：-20℃~70℃；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14.安装地点海拔：不高于2000m；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安装方式：导轨卡口。</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二、电源及防浪涌模组</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1.输入电压：AC100V-250V；</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2.输入电流：100mA;</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3.额定输出电压：DC12V；</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4.额定输出电流MAX DC2A；</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5.防雷击浪涌保护最大泄放电流：20kA；</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6.工作环境温度：-20℃~70℃；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7.安装地点海拔：不高于2000m；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8.安装方式：导轨卡口。</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★9.须符合GB4943.1标准</w:t>
            </w:r>
            <w:r>
              <w:rPr>
                <w:rFonts w:hint="eastAsia" w:ascii="仿宋" w:hAnsi="仿宋" w:eastAsia="仿宋" w:cs="仿宋"/>
                <w:b/>
                <w:bCs/>
                <w:sz w:val="24"/>
                <w:szCs w:val="24"/>
                <w:highlight w:val="none"/>
                <w:lang w:val="zh-CN"/>
              </w:rPr>
              <w:t>（投标时须提供具有CNAS标识的第三方质检报告复印件并加盖原厂公章）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三、4G通讯模组（全网通）</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1.支持双向互联网通讯；</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2.可支持以太网、WIFI、2G、4G、NB-IoT、RS485等多种通信方式；</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3.支持向下串口通讯功能、数据计算分析存储功能；</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4.定时控制功能：内置时钟芯片，脱网状态下可保证时间的精准性，真正实现各线路定时开关变得轻松、准确；</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5.工作电压：DC12V；</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6.工作环境温度：-20℃~70℃；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7.安装地点海拔：不高于2000m；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8.安装方式：导轨卡口。</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9.设备外壳材料应采用高规格防火阻燃材料、防火等级达到V0级</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★10.具有工信部入网许可证</w:t>
            </w:r>
            <w:r>
              <w:rPr>
                <w:rFonts w:hint="eastAsia" w:ascii="仿宋" w:hAnsi="仿宋" w:eastAsia="仿宋" w:cs="仿宋"/>
                <w:b/>
                <w:bCs/>
                <w:sz w:val="24"/>
                <w:szCs w:val="24"/>
                <w:highlight w:val="none"/>
                <w:lang w:val="zh-CN"/>
              </w:rPr>
              <w:t>（投标时须提供工信部入网许可证并加盖原厂公章）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11.含4G物联网流量卡*1</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四、远程智能用电监测管理系统</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1.支持多种客户端应用，包含Web端、手机APP（IOS、Android）。</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系统功能：①具备Web端的平台显示、具备实时数据查看、远程控制、报警弹窗提示、参数设置修改等；②苹果和安卓APP，具备实时数据查看、远程控制、定时控制、功率最大设定、报警弹窗提示、电量计量及漏电自检等功能；③并发用户数与系统性能：性能设计满足项目针对该系统在用户数，响应速度，系统在线并发等性能的需要：平均响应速度：全系统按照在标准软硬件环境下允许至少200用户操作，50人并发访问流量；业务操作交易平均响应时间小于3秒钟；复杂查询类平均响应时间小于5秒；统计分析类平均响应时间小于1分钟；容量和吞吐量：系统应支持每个子系统至少50用户的同时并发；④需稳定、可靠、安全、实用。信息传递灵活快捷，人机界面友好，图表生成灵活美观，输出、输入方便，检索、查询简单快捷。</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安全与身份认证①文件存取和系统功能要进行权限控制；②提供从系统级安全到应用层安全的各级防护措施，最大限度地防止非法入侵和操作，保证数据安全；③系统必须针对不同岗位实现相关业务内容的权限管理，包括数据的收集、修改、查询、统计等操作；④具备用户行为的安全审计和防抵赖能力，提供帮助系统安全管理的安全报表。</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系统稳定性：①避免由于单点故障或系统的升级而影响整个系统的正常运行；②支持7*24小时不间断服务。单次系统故障响应时间，严重故障不得超过1小时，一般故障不超过2小时；③满足网络不稳定、后台压力较大等特殊情况下，保证软件正常运行。因软件系统自身原因宕机次数每年需少于2次；④在系统发生失效的情况下，系统应容易重建规定的性能级别并恢复受直接影响的数据；⑤当系统在高负荷运转或出现故障，进入异步工作模式时，必须采用可靠的机制，保证数据的零丢失。</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★5.具有公安部安全与警用电子产品质量检测中心移动端和PC端软件测试报告（</w:t>
            </w:r>
            <w:r>
              <w:rPr>
                <w:rFonts w:hint="eastAsia" w:ascii="仿宋" w:hAnsi="仿宋" w:eastAsia="仿宋" w:cs="仿宋"/>
                <w:b/>
                <w:bCs/>
                <w:sz w:val="24"/>
                <w:szCs w:val="24"/>
                <w:highlight w:val="none"/>
                <w:lang w:val="zh-CN"/>
              </w:rPr>
              <w:t>投标时须提供测试报告复印件并加盖原厂公章）。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★6.具有电力物联网软件著作登记证书</w:t>
            </w:r>
            <w:r>
              <w:rPr>
                <w:rFonts w:hint="eastAsia" w:ascii="仿宋" w:hAnsi="仿宋" w:eastAsia="仿宋" w:cs="仿宋"/>
                <w:b/>
                <w:bCs/>
                <w:sz w:val="24"/>
                <w:szCs w:val="24"/>
                <w:highlight w:val="none"/>
                <w:lang w:val="zh-CN"/>
              </w:rPr>
              <w:t>（投标时须提供证书复印件并加盖原厂公章）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五、其他配件</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通讯延长线*1条</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2P智慧微断(漏保)</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1.额定电流：63A；带漏电保护，功率因数检测。</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2.额定电压AC230V</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★3.分断能力Icn：≥10000A</w:t>
            </w:r>
            <w:r>
              <w:rPr>
                <w:rFonts w:hint="eastAsia" w:ascii="仿宋" w:hAnsi="仿宋" w:eastAsia="仿宋" w:cs="仿宋"/>
                <w:b/>
                <w:bCs/>
                <w:sz w:val="24"/>
                <w:szCs w:val="24"/>
                <w:highlight w:val="none"/>
                <w:lang w:val="zh-CN"/>
              </w:rPr>
              <w:t>（投标时须提供3C或CQC检测报告复印件并加盖原厂公章）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4.漏电保护：线路漏电电流达到30mA时，断路器0.1s断电保护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5.短路保护：线路短路时，断路器0.04s断电保护；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6.功率限定：达到限定功率，10秒内断电保护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7.电流限定：达到限定电流，10秒内断电保护；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8.温度保护：出线端子温度超过70度预警，超过90度报警及保护；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9.过压（欠压）保护：输入电压超过263V，10S内断电保护，超过250V过压预警，低于190V欠压预警；</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10.漏电保护功能自动检测：可设置漏电保护功能每月自动检测(仅限带漏保断路器)；</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11.自动送电：漏电检测断电5s后自动送电(仅限带漏保断路器)；</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12.手自一体控制：手机遥控，可以按键自动控制，也可通过手动推杆控制通断；</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★13.故障检修功能：设备应具备本地检修模式，进入设备分闸锁定状态，远程、本地都不能合闸，检修完毕后，恢复远程模式</w:t>
            </w:r>
            <w:r>
              <w:rPr>
                <w:rFonts w:hint="eastAsia" w:ascii="仿宋" w:hAnsi="仿宋" w:eastAsia="仿宋" w:cs="仿宋"/>
                <w:b/>
                <w:bCs/>
                <w:sz w:val="24"/>
                <w:szCs w:val="24"/>
                <w:highlight w:val="none"/>
                <w:lang w:val="zh-CN"/>
              </w:rPr>
              <w:t>（投标时须提供具有CNAS标识的第三方质检报告复印件并加盖原厂公章）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★14.远程锁定功能：设备应具备远程锁定功能，进入远程锁定状态，远程、本地都禁止合闸，解除远程锁定后，恢复远程模式</w:t>
            </w:r>
            <w:r>
              <w:rPr>
                <w:rFonts w:hint="eastAsia" w:ascii="仿宋" w:hAnsi="仿宋" w:eastAsia="仿宋" w:cs="仿宋"/>
                <w:b/>
                <w:bCs/>
                <w:sz w:val="24"/>
                <w:szCs w:val="24"/>
                <w:highlight w:val="none"/>
                <w:lang w:val="zh-CN"/>
              </w:rPr>
              <w:t>（投标时须提供具有CNAS标识的第三方质检报告复印件并加盖原厂公章）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15.外壳防火等级：智能断路器外壳采用PA66+玻璃纤维等高规格防火阻燃材料、防火等级达到V0级；</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★16.产品具有地市级以上计量质量检测研究院出具的产品功能检测报告，须体现远程控制功能及功率限定功能；</w:t>
            </w:r>
            <w:r>
              <w:rPr>
                <w:rFonts w:hint="eastAsia" w:ascii="仿宋" w:hAnsi="仿宋" w:eastAsia="仿宋" w:cs="仿宋"/>
                <w:b/>
                <w:bCs/>
                <w:sz w:val="24"/>
                <w:szCs w:val="24"/>
                <w:highlight w:val="none"/>
                <w:lang w:val="zh-CN"/>
              </w:rPr>
              <w:t>（投标时须提供检测报告复印件并加盖原厂公章）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17.工作环境温度：-20℃~70℃；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18.安装地点海拔：不高于2000m；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安装方式：导轨卡口。</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1P智慧微断</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1.额定电流：20A；</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2.额定电压：AC230V；</w:t>
            </w:r>
          </w:p>
          <w:p>
            <w:pPr>
              <w:pStyle w:val="2"/>
              <w:spacing w:line="28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lang w:val="zh-CN"/>
              </w:rPr>
              <w:t>★3分断能力Icn：≥10000A</w:t>
            </w:r>
            <w:r>
              <w:rPr>
                <w:rFonts w:hint="eastAsia" w:ascii="仿宋" w:hAnsi="仿宋" w:eastAsia="仿宋" w:cs="仿宋"/>
                <w:b/>
                <w:bCs/>
                <w:sz w:val="24"/>
                <w:szCs w:val="24"/>
                <w:highlight w:val="none"/>
                <w:lang w:val="zh-CN"/>
              </w:rPr>
              <w:t>（投标时须提供3C或CQC检测报告复印件并加盖原厂公章）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4.短路保护：线路短路时，断路器0.04s断电保护；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5.功率限定：达到限定功率，10秒内断电保护；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6.电流限定：达到限定电流，10秒内断电保护；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7.温度保护：出线端子温度超过70度预警，超过90度报警及保护；</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8.电弧报警:当负载线路因接触不良发生连续电弧现象，并在一定时间内达到设定报警阀值时，设备可以推送报警信息；</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9.手自一体控制：手机遥控，可以按键自动控制，也可通过手动推杆控制通断；</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★10.故障检修功能：设备应具备本地检修模式，进入设备分闸锁定状态，远程、本地都不能合闸，检修完毕后，恢复远程模式</w:t>
            </w:r>
            <w:r>
              <w:rPr>
                <w:rFonts w:hint="eastAsia" w:ascii="仿宋" w:hAnsi="仿宋" w:eastAsia="仿宋" w:cs="仿宋"/>
                <w:b/>
                <w:bCs/>
                <w:sz w:val="24"/>
                <w:szCs w:val="24"/>
                <w:highlight w:val="none"/>
                <w:lang w:val="zh-CN"/>
              </w:rPr>
              <w:t>（投标时须提供具有CNAS标识的第三方质检报告复印件并加盖原厂公章）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★11.远程锁定功能：设备应具备远程锁定功能，进入远程锁定状态，远程、本地都禁止合闸，解除远程锁定后，恢复远程模式</w:t>
            </w:r>
            <w:r>
              <w:rPr>
                <w:rFonts w:hint="eastAsia" w:ascii="仿宋" w:hAnsi="仿宋" w:eastAsia="仿宋" w:cs="仿宋"/>
                <w:b/>
                <w:bCs/>
                <w:sz w:val="24"/>
                <w:szCs w:val="24"/>
                <w:highlight w:val="none"/>
                <w:lang w:val="zh-CN"/>
              </w:rPr>
              <w:t>（投标时须提供具有CNAS标识的第三方质检报告复印件并加盖原厂公章）</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12.恶性负载告警：设备应具备负载类型识别的功能，当检测到恶性负载时，可以推送报警信息，并可根据设定切断供电；</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13.外壳防火等级：智能断路器外壳采用PA66+玻璃纤维等高规格防火阻燃材料、防火等级达到V0级；</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14.工作环境温度：-20℃~70℃；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15.安装地点海拔：不高于2000m；</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电源线（分配电箱）</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WDZ-YJY-5*16，国标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30</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电源线（主干）</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BV4，100米/卷，国标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电源线（插座）</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BV2.5，100米/卷，国标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电源线（灯具）</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RVV2*1.0，100米/卷，国标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电源插排</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公牛、德力西、英特曼</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六位电源插排，国标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明盒</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86明盒，国标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PVC管</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 Φ20，国标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400</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教室环境布置</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LED灯</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雷士、欧普、飞利浦</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72W，1200*300mm LED灯，白光，含2根铝制吊杆</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32</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盏</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防静电地板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方飞、汇丽、中天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白聚晶陶瓷面架空防静电地板600*600*40mm，上钢板0.28mm、下钢板0.33mm，地板贴面：1.0mm；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白聚晶玻化砖贴面：集中载荷≥2940N、均布载荷≥14700N/㎡、极限集中载荷≥8820N；</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支架，上托规格68*68*3.0mm，86*86*2.0mm，管径25mm，表面镀锌防锈处理；横梁：570*22*26mm，壁厚0.8mm</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288</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窗帘</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麻布加长遮光窗帘，褶皱系数1.5，颜色符合校方要求</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48</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窗帘杆</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铝合金，国标定制</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24</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隔断墙</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轻钢龙骨框架，填充吸音棉，两面多层板，两面石膏板，油漆三遍。</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40</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踢脚线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304不锈钢，高度8-15cm(符合学校要求)</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96</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文化布置</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4块1㎡亚克力展板、桌贴等</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辅材</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安装调试所必须的辅材</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系统集成</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国标</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线、电源线及PVC管敷设，桥架安装，防静电地板铺设，强电空开安装，灯具安装，窗帘安装，踢脚线安装，文化布置，网络配置（根据学校要求配置IP地址并接入校园网），原计算机机房桌椅、计算机、交换机等搬运至新教室并组装、软件安装、调试达到学校认可的可用状态。原机房打扫、整理。</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四、</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（共1间，12m*18m，16-2F，不含地板等）</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弱电布线</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双绞线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六类非屏蔽双绞线</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1)标准：YD/T1019，ANSI∕TIA-568-C.2，ISO/IEC 11801，IEC 61156-5，IEC60332-1-2</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2)通过标准最高传输频率250MHz测试</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3)额定传输速率(NVP)：68%</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4)单根导体直流电阻：≤9.0Ω/100m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5)导体：软圆铜线、0.57mm±0.02mm，绝缘：HDPE，线对：4对</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6)屏蔽方式: F/UTP，单面复合铝箔纵包和排流线，线对采用“十”字骨架隔离</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7)护套材料：PVC或LSZH，护套外径：7.4±0.3mm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8)最小弯曲半径：安装时：10倍电缆外径，安装后：50mm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9)温度范围：安装时0℃～+50℃，运行时-20℃～+60℃</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305米/箱</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箱</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网络水晶头</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六类非屏蔽网络水晶头（100只/盒）</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1)符合T568A和T568B线序</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2)结构：两件式设计，8P8C</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3)金片：三叉铜合金</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4)塑胶壳材料：聚碳酸脂，符合UL-94V-2</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5)镀金厚度：50u”</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6)适用芯线直径：0.98mm~1.05mm</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7)插拔次数：≥1000次</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8)拉力测试：≥20N</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9)介质耐电压：1000VAC/60S</w:t>
            </w:r>
          </w:p>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10)工作环境温度：-10℃～+60℃</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盒</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强电布线</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空气开关（总开）</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3P、380V、80A，国标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空气开关（分开）</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2P、220V、40A，国标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电源线（主干）</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BV4，100米/卷，国标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电源线（插座）</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BV2.5，100米/卷，国标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明盒</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86明盒，国标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PVC管</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Φ20，国标</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100</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6661" w:type="dxa"/>
            <w:gridSpan w:val="3"/>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教室环境布置</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辅材</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安装调试所必须的辅材</w:t>
            </w:r>
          </w:p>
        </w:tc>
        <w:tc>
          <w:tcPr>
            <w:tcW w:w="53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系统集成</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国标</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线、电源线及PVC管敷设，防静电地板打孔，强电空开安装，原教室10套五边形电脑桌凳拆卸、搬运、安装，一张讲台、三张集训桌和一张会议桌拆卸、搬运安装；50台电脑、一个网络机柜以及机柜内的相应设备拆卸、搬运、安装。网络配置（根据学校要求配置IP地址并接入校园网），原计算机机房桌椅、计算机、交换机等搬运至新教室并组装、软件安装、调试达到学校认可的可用状态。原机房打扫、整理。</w:t>
            </w:r>
          </w:p>
        </w:tc>
        <w:tc>
          <w:tcPr>
            <w:tcW w:w="531"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36"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五</w:t>
            </w:r>
          </w:p>
        </w:tc>
        <w:tc>
          <w:tcPr>
            <w:tcW w:w="8093" w:type="dxa"/>
            <w:gridSpan w:val="6"/>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教学指导区域布置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36"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地板</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铺设强化复合地板，四个房间每个房间约50㎡；</w:t>
            </w:r>
          </w:p>
        </w:tc>
        <w:tc>
          <w:tcPr>
            <w:tcW w:w="531"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吊顶</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洁净板吊顶，600*600mm, 四个房间每个房间约50㎡；</w:t>
            </w:r>
          </w:p>
        </w:tc>
        <w:tc>
          <w:tcPr>
            <w:tcW w:w="531"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36"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LED灯</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集成灯600*600mm，四个房间每个房间安装4个</w:t>
            </w:r>
          </w:p>
        </w:tc>
        <w:tc>
          <w:tcPr>
            <w:tcW w:w="531"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36"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教学指导设备</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办公桌椅一套；沙发茶几一套；文件柜2个；1间窗帘约40㎡（样式符合学校要求）</w:t>
            </w:r>
          </w:p>
        </w:tc>
        <w:tc>
          <w:tcPr>
            <w:tcW w:w="531"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36"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辅材</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电源线、管材、扎带等</w:t>
            </w:r>
          </w:p>
        </w:tc>
        <w:tc>
          <w:tcPr>
            <w:tcW w:w="531"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636"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100"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教室布置</w:t>
            </w:r>
          </w:p>
        </w:tc>
        <w:tc>
          <w:tcPr>
            <w:tcW w:w="109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国标</w:t>
            </w:r>
          </w:p>
        </w:tc>
        <w:tc>
          <w:tcPr>
            <w:tcW w:w="4469"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四个房间门改造；空调出风口、消防喷淋头改造；墙面处理等。</w:t>
            </w:r>
          </w:p>
        </w:tc>
        <w:tc>
          <w:tcPr>
            <w:tcW w:w="531"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0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396" w:type="dxa"/>
            <w:shd w:val="clear" w:color="auto" w:fill="auto"/>
            <w:vAlign w:val="center"/>
          </w:tcPr>
          <w:p>
            <w:pPr>
              <w:pStyle w:val="2"/>
              <w:spacing w:line="280" w:lineRule="exact"/>
              <w:rPr>
                <w:rFonts w:hint="eastAsia" w:ascii="仿宋" w:hAnsi="仿宋" w:eastAsia="仿宋" w:cs="仿宋"/>
                <w:sz w:val="24"/>
                <w:szCs w:val="24"/>
                <w:lang w:val="zh-CN"/>
              </w:rPr>
            </w:pPr>
          </w:p>
        </w:tc>
      </w:tr>
    </w:tbl>
    <w:p>
      <w:pPr>
        <w:adjustRightInd/>
        <w:snapToGrid/>
        <w:spacing w:after="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重要说明：</w:t>
      </w:r>
    </w:p>
    <w:p>
      <w:pPr>
        <w:adjustRightInd/>
        <w:snapToGrid/>
        <w:spacing w:after="0"/>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1、本项目所有技术参数都不接受负偏离应标。不能满足则视为未能实质性响应招标文件，作无效标处理。</w:t>
      </w:r>
    </w:p>
    <w:p>
      <w:pPr>
        <w:adjustRightInd/>
        <w:snapToGrid/>
        <w:spacing w:after="0"/>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本项目中的“建议品牌”仅是为保证本建设项目质量而建议所采购产品（设备）的档次和功能，投标供应商可以提供“建议品牌”也可以提供“非建议品牌”的产品，提供“非建议品牌”产品的，其产品档次、技术参数均需等于或高于建议品牌。同时投标供应商应当提供以下资料（缺一不可）：①由地级市及以上技术检测机构针对本次招标采购而出具的符合本项目招标要求的投标产品检测报告；②技术白皮书；③生产许可证；且①②③项的复印件必须加盖制造商红章。当三分之二的评委认定，所选品牌档次低于建议品牌档次的，将作无效投标处理。</w:t>
      </w:r>
    </w:p>
    <w:p>
      <w:pPr>
        <w:pStyle w:val="2"/>
        <w:rPr>
          <w:rFonts w:hint="eastAsia" w:ascii="仿宋" w:hAnsi="仿宋" w:eastAsia="仿宋" w:cs="仿宋"/>
          <w:sz w:val="28"/>
          <w:szCs w:val="28"/>
        </w:rPr>
      </w:pPr>
      <w:r>
        <w:rPr>
          <w:rFonts w:hint="eastAsia" w:ascii="仿宋" w:hAnsi="仿宋" w:eastAsia="仿宋" w:cs="仿宋"/>
          <w:sz w:val="28"/>
          <w:szCs w:val="28"/>
        </w:rPr>
        <w:t xml:space="preserve">    3、投标人中标后签订合同前须提供双绞线、防静电地板、物联网智能总开、2P智慧微断(漏保)、1P智慧微断的生产厂家出具的针对本项目的参数符合承诺函及质保服务承诺函（双绞线十五年质保；物联网智能总开、2P智慧微断(漏保)、1P智慧微断三年质保）加盖原厂公章，不能提供或故意拖延作废标处理。</w:t>
      </w:r>
    </w:p>
    <w:p>
      <w:pPr>
        <w:adjustRightInd/>
        <w:snapToGrid/>
        <w:spacing w:after="0"/>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4、投标人中标后签订合同前须提供全新未拆封的，符合招标文件要求的所投物联网智能总开、2P智慧微断(漏保)、1P智慧微断进行功能性测试，发现虚假应标取消其中标资格。</w:t>
      </w:r>
    </w:p>
    <w:p>
      <w:pPr>
        <w:pStyle w:val="2"/>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shd w:val="clear" w:color="auto" w:fill="FFFFFF"/>
        </w:rPr>
        <w:t>所有设备均张贴标签（内容根据学校要求制作）</w:t>
      </w:r>
    </w:p>
    <w:p>
      <w:pPr>
        <w:spacing w:after="0" w:line="540" w:lineRule="exact"/>
        <w:ind w:firstLine="562" w:firstLineChars="200"/>
        <w:jc w:val="both"/>
        <w:rPr>
          <w:rFonts w:ascii="仿宋" w:hAnsi="仿宋" w:eastAsia="仿宋" w:cs="仿宋"/>
          <w:b/>
          <w:bCs/>
          <w:sz w:val="28"/>
          <w:szCs w:val="28"/>
          <w:lang w:val="zh-CN"/>
        </w:rPr>
      </w:pPr>
      <w:r>
        <w:rPr>
          <w:rFonts w:hint="eastAsia" w:ascii="仿宋" w:hAnsi="仿宋" w:eastAsia="仿宋" w:cs="仿宋"/>
          <w:b/>
          <w:bCs/>
          <w:sz w:val="28"/>
          <w:szCs w:val="28"/>
          <w:lang w:val="zh-CN"/>
        </w:rPr>
        <w:t>（四）采购标的数量、采购项目交付或者实施的时间和地点</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 xml:space="preserve"> 需求清单</w:t>
      </w:r>
    </w:p>
    <w:tbl>
      <w:tblPr>
        <w:tblStyle w:val="13"/>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997"/>
        <w:gridCol w:w="3732"/>
        <w:gridCol w:w="661"/>
        <w:gridCol w:w="681"/>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98"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序号</w:t>
            </w:r>
          </w:p>
        </w:tc>
        <w:tc>
          <w:tcPr>
            <w:tcW w:w="1997"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设备名称</w:t>
            </w:r>
          </w:p>
        </w:tc>
        <w:tc>
          <w:tcPr>
            <w:tcW w:w="3732"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建议品牌</w:t>
            </w:r>
          </w:p>
        </w:tc>
        <w:tc>
          <w:tcPr>
            <w:tcW w:w="661"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数量</w:t>
            </w:r>
          </w:p>
        </w:tc>
        <w:tc>
          <w:tcPr>
            <w:tcW w:w="681"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单位</w:t>
            </w:r>
          </w:p>
        </w:tc>
        <w:tc>
          <w:tcPr>
            <w:tcW w:w="575"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98"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一、</w:t>
            </w:r>
          </w:p>
        </w:tc>
        <w:tc>
          <w:tcPr>
            <w:tcW w:w="5729" w:type="dxa"/>
            <w:gridSpan w:val="2"/>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（共1间，12m*12m，16-5F，不含地板）</w:t>
            </w:r>
          </w:p>
        </w:tc>
        <w:tc>
          <w:tcPr>
            <w:tcW w:w="661"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729" w:type="dxa"/>
            <w:gridSpan w:val="2"/>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弱电布线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网络机柜</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一舟、图腾、华为</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台</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双绞线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箱</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网络水晶头</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盒</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六类成品跳线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网络配线架</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理线架</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弱电桥架</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天虹、隆鑫、华鹏</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30</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单模光纤跳线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单模光纤模块</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华为、H3C、锐捷</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5729" w:type="dxa"/>
            <w:gridSpan w:val="2"/>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强电布线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物联网智能总开</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2P智慧微断(漏保)</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1P智慧微断</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电源线（主干）</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电源线（插座）</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电源线（灯具）</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电源插排</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公牛、德力西、英特曼</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明盒</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PVC管</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200</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5729" w:type="dxa"/>
            <w:gridSpan w:val="2"/>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教室环境布置</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LED灯</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雷士、欧普、飞利浦</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16</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盏</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窗帘</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窗帘杆</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踢脚线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50</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文化布置</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辅材</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系统集成</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国标</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二、</w:t>
            </w:r>
          </w:p>
        </w:tc>
        <w:tc>
          <w:tcPr>
            <w:tcW w:w="5729" w:type="dxa"/>
            <w:gridSpan w:val="2"/>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（共4间，12m*12m，16-5F）</w:t>
            </w:r>
          </w:p>
        </w:tc>
        <w:tc>
          <w:tcPr>
            <w:tcW w:w="661"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729" w:type="dxa"/>
            <w:gridSpan w:val="2"/>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弱电布线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网络机柜</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一舟、图腾、华为</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台</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双绞线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箱</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网络水晶头</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盒</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六类成品跳线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248</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网络配线架</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理线架</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弱电桥架</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天虹、隆鑫、华鹏</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120</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单模光纤跳线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单模光纤模块</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华为、H3C、锐捷</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5729" w:type="dxa"/>
            <w:gridSpan w:val="2"/>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强电布线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物联网智能总开</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2P智慧微断(漏保)</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1P智慧微断</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电源线（主干）</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电源线（插座）</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电源线（灯具）</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电源插排</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公牛、德力西、英特曼</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明盒</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PVC管</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800</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5729" w:type="dxa"/>
            <w:gridSpan w:val="2"/>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教室环境布置</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LED灯</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雷士、欧普、飞利浦</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盏</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防静电地板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方飞、汇丽、中天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576</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窗帘</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96</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窗帘杆</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48</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踢脚线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192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文化布置</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辅材</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系统集成</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国标</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三、</w:t>
            </w:r>
          </w:p>
        </w:tc>
        <w:tc>
          <w:tcPr>
            <w:tcW w:w="5729" w:type="dxa"/>
            <w:gridSpan w:val="2"/>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（共1间，24m*12m，16-6F）</w:t>
            </w:r>
          </w:p>
        </w:tc>
        <w:tc>
          <w:tcPr>
            <w:tcW w:w="661"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729" w:type="dxa"/>
            <w:gridSpan w:val="2"/>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弱电布线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网络机柜</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一舟、图腾、华为</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台</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双绞线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箱</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网络水晶头</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盒</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六类成品跳线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网络配线架</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理线架</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弱电桥架</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天虹、隆鑫、华鹏</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60</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单模光纤跳线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单模光纤模块</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华为、H3C、锐捷</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半球监控</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海康、大华、天地伟业</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5729" w:type="dxa"/>
            <w:gridSpan w:val="2"/>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强电布线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配电箱</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物联网智能总开</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2P智慧微断(漏保)</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1P智慧微断</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电源线（分配电箱）</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30</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电源线（主干）</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电源线（插座）</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电源线（灯具）</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电源插排</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公牛、德力西、英特曼</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明盒</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11</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PVC管</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400</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5729" w:type="dxa"/>
            <w:gridSpan w:val="2"/>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教室环境布置</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LED灯</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雷士、欧普、飞利浦</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32</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盏</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防静电地板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方飞、汇丽、中天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288</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窗帘</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48</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窗帘杆</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24</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隔断墙</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40</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踢脚线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96</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m</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文化布置</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辅材</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系统集成</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国标</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四、</w:t>
            </w:r>
          </w:p>
        </w:tc>
        <w:tc>
          <w:tcPr>
            <w:tcW w:w="5729" w:type="dxa"/>
            <w:gridSpan w:val="2"/>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（共1间，12m*18m，16-2F，不含地板等）</w:t>
            </w:r>
          </w:p>
        </w:tc>
        <w:tc>
          <w:tcPr>
            <w:tcW w:w="661"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5729" w:type="dxa"/>
            <w:gridSpan w:val="2"/>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弱电布线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双绞线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箱</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网络水晶头</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一舟、汉维、普天</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盒</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5729" w:type="dxa"/>
            <w:gridSpan w:val="2"/>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强电布线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空气开关（总开）</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空气开关（分开）</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曼顿、正泰、德力西</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电源线（主干）</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电源线（插座）</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江南、帝一、汉维</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卷</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明盒</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个</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PVC管</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100</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米</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5729" w:type="dxa"/>
            <w:gridSpan w:val="2"/>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教室环境布置</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辅材</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系统集成</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国标</w:t>
            </w:r>
          </w:p>
        </w:tc>
        <w:tc>
          <w:tcPr>
            <w:tcW w:w="661"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17" w:type="dxa"/>
          <w:trHeight w:val="251" w:hRule="atLeast"/>
          <w:jc w:val="center"/>
        </w:trPr>
        <w:tc>
          <w:tcPr>
            <w:tcW w:w="698" w:type="dxa"/>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五</w:t>
            </w:r>
          </w:p>
        </w:tc>
        <w:tc>
          <w:tcPr>
            <w:tcW w:w="5729" w:type="dxa"/>
            <w:gridSpan w:val="2"/>
            <w:shd w:val="clear" w:color="auto" w:fill="auto"/>
            <w:vAlign w:val="center"/>
          </w:tcPr>
          <w:p>
            <w:pPr>
              <w:pStyle w:val="2"/>
              <w:spacing w:line="28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教学指导区域布置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98"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地板</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8"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吊顶</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98"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LED灯</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98"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教学指导设备</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98"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辅材</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国产优质</w:t>
            </w:r>
          </w:p>
        </w:tc>
        <w:tc>
          <w:tcPr>
            <w:tcW w:w="661"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98"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1997"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教室布置</w:t>
            </w:r>
          </w:p>
        </w:tc>
        <w:tc>
          <w:tcPr>
            <w:tcW w:w="3732"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国标</w:t>
            </w:r>
          </w:p>
        </w:tc>
        <w:tc>
          <w:tcPr>
            <w:tcW w:w="661" w:type="dxa"/>
            <w:shd w:val="clear" w:color="auto" w:fill="auto"/>
            <w:vAlign w:val="center"/>
          </w:tcPr>
          <w:p>
            <w:pPr>
              <w:pStyle w:val="2"/>
              <w:spacing w:line="28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681" w:type="dxa"/>
            <w:shd w:val="clear" w:color="auto" w:fill="auto"/>
            <w:vAlign w:val="center"/>
          </w:tcPr>
          <w:p>
            <w:pPr>
              <w:pStyle w:val="2"/>
              <w:spacing w:line="280" w:lineRule="exact"/>
              <w:rPr>
                <w:rFonts w:hint="eastAsia" w:ascii="仿宋" w:hAnsi="仿宋" w:eastAsia="仿宋" w:cs="仿宋"/>
                <w:sz w:val="24"/>
                <w:szCs w:val="24"/>
                <w:lang w:val="zh-CN"/>
              </w:rPr>
            </w:pPr>
            <w:r>
              <w:rPr>
                <w:rFonts w:hint="eastAsia" w:ascii="仿宋" w:hAnsi="仿宋" w:eastAsia="仿宋" w:cs="仿宋"/>
                <w:sz w:val="24"/>
                <w:szCs w:val="24"/>
                <w:lang w:val="zh-CN"/>
              </w:rPr>
              <w:t>项</w:t>
            </w:r>
          </w:p>
        </w:tc>
        <w:tc>
          <w:tcPr>
            <w:tcW w:w="575" w:type="dxa"/>
            <w:shd w:val="clear" w:color="auto" w:fill="auto"/>
            <w:vAlign w:val="center"/>
          </w:tcPr>
          <w:p>
            <w:pPr>
              <w:pStyle w:val="2"/>
              <w:spacing w:line="280" w:lineRule="exact"/>
              <w:rPr>
                <w:rFonts w:hint="eastAsia" w:ascii="仿宋" w:hAnsi="仿宋" w:eastAsia="仿宋" w:cs="仿宋"/>
                <w:sz w:val="24"/>
                <w:szCs w:val="24"/>
                <w:lang w:val="zh-CN"/>
              </w:rPr>
            </w:pPr>
          </w:p>
        </w:tc>
      </w:tr>
    </w:tbl>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 报价中包含本项目所有涉及的全部费用，</w:t>
      </w:r>
      <w:r>
        <w:rPr>
          <w:rFonts w:hint="eastAsia" w:ascii="仿宋" w:hAnsi="仿宋" w:eastAsia="仿宋" w:cs="仿宋"/>
          <w:sz w:val="28"/>
          <w:szCs w:val="28"/>
        </w:rPr>
        <w:t>包括</w:t>
      </w:r>
      <w:r>
        <w:rPr>
          <w:rFonts w:ascii="仿宋" w:hAnsi="仿宋" w:eastAsia="仿宋" w:cs="仿宋"/>
          <w:sz w:val="28"/>
          <w:szCs w:val="28"/>
        </w:rPr>
        <w:t>设备运输费、安装费、税金、</w:t>
      </w:r>
      <w:r>
        <w:rPr>
          <w:rFonts w:hint="eastAsia" w:ascii="仿宋" w:hAnsi="仿宋" w:eastAsia="仿宋" w:cs="仿宋"/>
          <w:sz w:val="28"/>
          <w:szCs w:val="28"/>
        </w:rPr>
        <w:t>施工</w:t>
      </w:r>
      <w:r>
        <w:rPr>
          <w:rFonts w:ascii="仿宋" w:hAnsi="仿宋" w:eastAsia="仿宋" w:cs="仿宋"/>
          <w:sz w:val="28"/>
          <w:szCs w:val="28"/>
        </w:rPr>
        <w:t>费等，项目实施过程中不另结其它</w:t>
      </w:r>
      <w:r>
        <w:rPr>
          <w:rFonts w:hint="eastAsia" w:ascii="仿宋" w:hAnsi="仿宋" w:eastAsia="仿宋" w:cs="仿宋"/>
          <w:sz w:val="28"/>
          <w:szCs w:val="28"/>
        </w:rPr>
        <w:t>任何</w:t>
      </w:r>
      <w:r>
        <w:rPr>
          <w:rFonts w:ascii="仿宋" w:hAnsi="仿宋" w:eastAsia="仿宋" w:cs="仿宋"/>
          <w:sz w:val="28"/>
          <w:szCs w:val="28"/>
        </w:rPr>
        <w:t>费用。投标人必须综合考虑</w:t>
      </w:r>
      <w:r>
        <w:rPr>
          <w:rFonts w:hint="eastAsia" w:ascii="仿宋" w:hAnsi="仿宋" w:eastAsia="仿宋" w:cs="仿宋"/>
          <w:sz w:val="28"/>
          <w:szCs w:val="28"/>
        </w:rPr>
        <w:t>物价上涨等</w:t>
      </w:r>
      <w:r>
        <w:rPr>
          <w:rFonts w:ascii="仿宋" w:hAnsi="仿宋" w:eastAsia="仿宋" w:cs="仿宋"/>
          <w:sz w:val="28"/>
          <w:szCs w:val="28"/>
        </w:rPr>
        <w:t>各种风险后确定最终报价，中标价确定后不作任何调整。</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3.项目交付时间：工期签订合同之日起计算，</w:t>
      </w:r>
      <w:r>
        <w:rPr>
          <w:rFonts w:ascii="仿宋" w:hAnsi="仿宋" w:eastAsia="仿宋" w:cs="仿宋"/>
          <w:sz w:val="28"/>
          <w:szCs w:val="28"/>
        </w:rPr>
        <w:t>15</w:t>
      </w:r>
      <w:r>
        <w:rPr>
          <w:rFonts w:hint="eastAsia" w:ascii="仿宋" w:hAnsi="仿宋" w:eastAsia="仿宋" w:cs="仿宋"/>
          <w:sz w:val="28"/>
          <w:szCs w:val="28"/>
        </w:rPr>
        <w:t>日内完成交货、安装。</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4.项目交付地点：南通工贸技师学院指定地点。</w:t>
      </w:r>
    </w:p>
    <w:p>
      <w:pPr>
        <w:spacing w:after="0" w:line="540" w:lineRule="exact"/>
        <w:ind w:firstLine="562" w:firstLineChars="200"/>
        <w:jc w:val="both"/>
        <w:rPr>
          <w:rFonts w:ascii="仿宋" w:hAnsi="仿宋" w:eastAsia="仿宋" w:cs="仿宋"/>
          <w:b/>
          <w:bCs/>
          <w:sz w:val="28"/>
          <w:szCs w:val="28"/>
          <w:lang w:val="zh-CN"/>
        </w:rPr>
      </w:pPr>
      <w:r>
        <w:rPr>
          <w:rFonts w:hint="eastAsia" w:ascii="仿宋" w:hAnsi="仿宋" w:eastAsia="仿宋" w:cs="仿宋"/>
          <w:b/>
          <w:bCs/>
          <w:sz w:val="28"/>
          <w:szCs w:val="28"/>
          <w:lang w:val="zh-CN"/>
        </w:rPr>
        <w:t>（五）采购标的需满足的服务标准、期限、效率等要求</w:t>
      </w:r>
    </w:p>
    <w:p>
      <w:pPr>
        <w:spacing w:after="0"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sz w:val="28"/>
          <w:szCs w:val="28"/>
        </w:rPr>
        <w:t>服务标准：</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成交供应商应详细阐述设备的安装、调试、培训方案，质保期内服务的内容与范围，免费服务至少包括以下内容：</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①</w:t>
      </w:r>
      <w:r>
        <w:rPr>
          <w:rFonts w:ascii="仿宋" w:hAnsi="仿宋" w:eastAsia="仿宋" w:cs="仿宋"/>
          <w:sz w:val="28"/>
          <w:szCs w:val="28"/>
        </w:rPr>
        <w:t xml:space="preserve"> 设备安装、调试、培训的详细方案。</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②</w:t>
      </w:r>
      <w:r>
        <w:rPr>
          <w:rFonts w:ascii="仿宋" w:hAnsi="仿宋" w:eastAsia="仿宋" w:cs="仿宋"/>
          <w:sz w:val="28"/>
          <w:szCs w:val="28"/>
        </w:rPr>
        <w:t xml:space="preserve"> 因成交供应商的原因出现问题，应免费到现场进行再次调试，直至系统恢复正常为止。</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③</w:t>
      </w:r>
      <w:r>
        <w:rPr>
          <w:rFonts w:ascii="仿宋" w:hAnsi="仿宋" w:eastAsia="仿宋" w:cs="仿宋"/>
          <w:sz w:val="28"/>
          <w:szCs w:val="28"/>
        </w:rPr>
        <w:t xml:space="preserve"> 保修期内，免费提供所有硬件设备的维修及软件维护、升级等技术支持服务；所有设备维修服务、软件维护、升级均为上门服务，由此产生的费用均由成交供应商承担。</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④</w:t>
      </w:r>
      <w:r>
        <w:rPr>
          <w:rFonts w:ascii="仿宋" w:hAnsi="仿宋" w:eastAsia="仿宋" w:cs="仿宋"/>
          <w:sz w:val="28"/>
          <w:szCs w:val="28"/>
        </w:rPr>
        <w:t xml:space="preserve"> 在软件方面：成交供应商免费提供软件升级和技术支持，并免费提供技术资料1套。</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⑤</w:t>
      </w:r>
      <w:r>
        <w:rPr>
          <w:rFonts w:ascii="仿宋" w:hAnsi="仿宋" w:eastAsia="仿宋" w:cs="仿宋"/>
          <w:sz w:val="28"/>
          <w:szCs w:val="28"/>
        </w:rPr>
        <w:t xml:space="preserve"> 技术后援支持服务：为今后系统中主要设备、软件和系统功能扩充、升级提供技术支持服务。</w:t>
      </w:r>
    </w:p>
    <w:p>
      <w:pPr>
        <w:spacing w:after="0" w:line="460" w:lineRule="exact"/>
        <w:ind w:firstLine="560" w:firstLineChars="200"/>
        <w:rPr>
          <w:rFonts w:ascii="仿宋" w:hAnsi="仿宋" w:eastAsia="仿宋" w:cs="仿宋"/>
          <w:sz w:val="28"/>
          <w:szCs w:val="28"/>
        </w:rPr>
      </w:pPr>
      <w:r>
        <w:rPr>
          <w:rFonts w:ascii="仿宋" w:hAnsi="仿宋" w:eastAsia="仿宋" w:cs="仿宋"/>
          <w:sz w:val="28"/>
          <w:szCs w:val="28"/>
        </w:rPr>
        <w:t>2.质保期限：</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所提供货品为原厂原包装，项目整体（含所有硬件设施设备及软件）自验收合格日起质保期为三</w:t>
      </w:r>
      <w:r>
        <w:rPr>
          <w:rFonts w:ascii="仿宋" w:hAnsi="仿宋" w:eastAsia="仿宋" w:cs="仿宋"/>
          <w:sz w:val="28"/>
          <w:szCs w:val="28"/>
        </w:rPr>
        <w:t>年。</w:t>
      </w:r>
    </w:p>
    <w:p>
      <w:pPr>
        <w:spacing w:after="0" w:line="460" w:lineRule="exact"/>
        <w:ind w:firstLine="560" w:firstLineChars="200"/>
        <w:rPr>
          <w:rFonts w:ascii="仿宋" w:hAnsi="仿宋" w:eastAsia="仿宋" w:cs="仿宋"/>
          <w:sz w:val="28"/>
          <w:szCs w:val="28"/>
        </w:rPr>
      </w:pPr>
      <w:r>
        <w:rPr>
          <w:rFonts w:ascii="仿宋" w:hAnsi="仿宋" w:eastAsia="仿宋" w:cs="仿宋"/>
          <w:sz w:val="28"/>
          <w:szCs w:val="28"/>
        </w:rPr>
        <w:t>3.服务效率：</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在质保期内，成交供应商在接到报修通知后，维修人员在</w:t>
      </w:r>
      <w:r>
        <w:rPr>
          <w:rFonts w:ascii="仿宋" w:hAnsi="仿宋" w:eastAsia="仿宋" w:cs="仿宋"/>
          <w:sz w:val="28"/>
          <w:szCs w:val="28"/>
        </w:rPr>
        <w:t>5小时内到达现场查明故障原因并提出解决方案予以解决；在硬件方面：对于损坏的设备，成交供应商接到通知后，在24小时内完成损坏设备的更换，使系统或设备恢复正常工作，由此产生的全部费用由成交供应商承担。</w:t>
      </w:r>
    </w:p>
    <w:p>
      <w:pPr>
        <w:spacing w:after="0" w:line="540" w:lineRule="exact"/>
        <w:ind w:firstLine="562" w:firstLineChars="200"/>
        <w:jc w:val="both"/>
        <w:rPr>
          <w:rFonts w:ascii="仿宋" w:hAnsi="仿宋" w:eastAsia="仿宋" w:cs="仿宋"/>
          <w:b/>
          <w:bCs/>
          <w:sz w:val="28"/>
          <w:szCs w:val="28"/>
          <w:lang w:val="zh-CN"/>
        </w:rPr>
      </w:pPr>
      <w:r>
        <w:rPr>
          <w:rFonts w:hint="eastAsia" w:ascii="仿宋" w:hAnsi="仿宋" w:eastAsia="仿宋" w:cs="仿宋"/>
          <w:b/>
          <w:bCs/>
          <w:sz w:val="28"/>
          <w:szCs w:val="28"/>
          <w:lang w:val="zh-CN"/>
        </w:rPr>
        <w:t>（六）采购标的验收标准</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采购单位按合同约定积极配合供应商履约，按合同约定及时组织相关专业技术人员，必要时邀请质检等部门共同参与验收，并出具验收报告，验收合格的作为支付款项的依据。</w:t>
      </w:r>
    </w:p>
    <w:p>
      <w:pPr>
        <w:spacing w:after="0" w:line="540" w:lineRule="exact"/>
        <w:ind w:firstLine="562" w:firstLineChars="200"/>
        <w:jc w:val="both"/>
        <w:rPr>
          <w:rFonts w:ascii="仿宋" w:hAnsi="仿宋" w:eastAsia="仿宋" w:cs="仿宋"/>
          <w:b/>
          <w:bCs/>
          <w:sz w:val="28"/>
          <w:szCs w:val="28"/>
          <w:lang w:val="zh-CN"/>
        </w:rPr>
      </w:pPr>
      <w:r>
        <w:rPr>
          <w:rFonts w:hint="eastAsia" w:ascii="仿宋" w:hAnsi="仿宋" w:eastAsia="仿宋" w:cs="仿宋"/>
          <w:b/>
          <w:bCs/>
          <w:sz w:val="28"/>
          <w:szCs w:val="28"/>
          <w:lang w:val="zh-CN"/>
        </w:rPr>
        <w:t>（七）采购标的其他技术、服务等要求</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投标单位需来学院查勘现场，采购清单中场地面积、线缆长度、窗帘长度等以现场实际数量为准，中标单位实际施工中须按照采购单位的实际使用需求进行施工。</w:t>
      </w:r>
    </w:p>
    <w:p>
      <w:pPr>
        <w:spacing w:after="0"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.投标单位明确所投设备的品牌、型号、规格和外形、尺寸及一些必须说明的技术参数，以及使用的材料的清单，同时明确生产厂家、型号规格等，并提供详细的技术参数或者性能说明书。</w:t>
      </w:r>
    </w:p>
    <w:p>
      <w:pPr>
        <w:spacing w:after="0"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.投标单位必须承诺招标文件中提出的全部技术规格与要求，如果其中某些条款不响应时，应在文件中逐条列出，未列出的视同响应。</w:t>
      </w:r>
    </w:p>
    <w:p>
      <w:pPr>
        <w:spacing w:after="0"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总报价包括完成该项工作过程中发生的一切费用，包括所投设备及其备品、备件和专用工具费用、税费及包装、运至最终目的地的运输、保险、现场安装、检测验收、技术支持与培训、售后服务与维保及相关劳务支出等所发生的全部费用以及企业利润、税金和政策性文件规定及合同包含的所有风险、责任等各项应有费用。</w:t>
      </w:r>
    </w:p>
    <w:p>
      <w:pPr>
        <w:spacing w:after="0"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.投标单位必须明确作出服务承诺，详细阐述维修、维护内容及服务方式和范围。</w:t>
      </w:r>
    </w:p>
    <w:p>
      <w:pPr>
        <w:spacing w:after="0"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.投标单位须提供质量保证，在质量保证期内该设备或产品出现质量问题（人为除外），无条件更换。</w:t>
      </w:r>
    </w:p>
    <w:p>
      <w:pPr>
        <w:spacing w:after="0" w:line="540" w:lineRule="exact"/>
        <w:ind w:firstLine="560" w:firstLineChars="200"/>
        <w:jc w:val="both"/>
        <w:rPr>
          <w:rFonts w:ascii="仿宋" w:hAnsi="仿宋" w:eastAsia="仿宋" w:cs="仿宋"/>
          <w:sz w:val="28"/>
          <w:szCs w:val="28"/>
          <w:highlight w:val="none"/>
        </w:rPr>
      </w:pPr>
      <w:r>
        <w:rPr>
          <w:rFonts w:hint="eastAsia" w:ascii="仿宋" w:hAnsi="仿宋" w:eastAsia="仿宋" w:cs="仿宋"/>
          <w:sz w:val="28"/>
          <w:szCs w:val="28"/>
          <w:highlight w:val="none"/>
        </w:rPr>
        <w:t>（八）付款条件</w:t>
      </w:r>
    </w:p>
    <w:p>
      <w:pPr>
        <w:spacing w:after="0"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履约保证金：成交供应商在签合同前，向采购人交纳合同金额的3%作为履约保证金，履约保证金在验收合格后转为质保金。</w:t>
      </w:r>
    </w:p>
    <w:p>
      <w:pPr>
        <w:spacing w:after="0"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付款：合同签订后支付合同款的50%，项目验收合格后且供应商出具正式发票后支付合同款的50%。</w:t>
      </w:r>
    </w:p>
    <w:p>
      <w:pPr>
        <w:spacing w:after="0"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质保金：质保金在质保期满经相关部门确认无遗留问题后无息退还。</w:t>
      </w:r>
    </w:p>
    <w:p>
      <w:pPr>
        <w:spacing w:after="0" w:line="540" w:lineRule="exact"/>
        <w:ind w:firstLine="562" w:firstLineChars="200"/>
        <w:jc w:val="both"/>
        <w:rPr>
          <w:rFonts w:ascii="仿宋" w:hAnsi="仿宋" w:eastAsia="仿宋" w:cs="仿宋"/>
          <w:b/>
          <w:bCs/>
          <w:sz w:val="28"/>
          <w:szCs w:val="28"/>
          <w:highlight w:val="none"/>
        </w:rPr>
      </w:pPr>
      <w:r>
        <w:rPr>
          <w:rFonts w:hint="eastAsia" w:ascii="仿宋" w:hAnsi="仿宋" w:eastAsia="仿宋" w:cs="仿宋"/>
          <w:b/>
          <w:bCs/>
          <w:sz w:val="28"/>
          <w:szCs w:val="28"/>
          <w:highlight w:val="none"/>
        </w:rPr>
        <w:t>三、合同其他条款：无</w:t>
      </w:r>
    </w:p>
    <w:p>
      <w:pPr>
        <w:spacing w:after="0" w:line="540" w:lineRule="exact"/>
        <w:ind w:firstLine="562" w:firstLineChars="200"/>
        <w:jc w:val="both"/>
        <w:rPr>
          <w:rFonts w:ascii="仿宋" w:hAnsi="仿宋" w:eastAsia="仿宋" w:cs="仿宋"/>
          <w:sz w:val="28"/>
          <w:szCs w:val="28"/>
          <w:highlight w:val="none"/>
          <w:lang w:val="zh-CN"/>
        </w:rPr>
      </w:pPr>
      <w:r>
        <w:rPr>
          <w:rFonts w:hint="eastAsia" w:ascii="仿宋" w:hAnsi="仿宋" w:eastAsia="仿宋" w:cs="仿宋"/>
          <w:b/>
          <w:bCs/>
          <w:sz w:val="28"/>
          <w:szCs w:val="28"/>
          <w:highlight w:val="none"/>
        </w:rPr>
        <w:t>四、</w:t>
      </w:r>
      <w:r>
        <w:rPr>
          <w:rFonts w:hint="eastAsia" w:ascii="仿宋" w:hAnsi="仿宋" w:eastAsia="仿宋" w:cs="仿宋"/>
          <w:b/>
          <w:bCs/>
          <w:sz w:val="28"/>
          <w:szCs w:val="28"/>
          <w:highlight w:val="none"/>
          <w:lang w:val="zh-CN"/>
        </w:rPr>
        <w:t>投标保证金：</w:t>
      </w:r>
      <w:r>
        <w:rPr>
          <w:rFonts w:hint="eastAsia" w:ascii="仿宋" w:hAnsi="仿宋" w:eastAsia="仿宋" w:cs="仿宋"/>
          <w:b/>
          <w:bCs/>
          <w:sz w:val="28"/>
          <w:szCs w:val="28"/>
          <w:highlight w:val="none"/>
        </w:rPr>
        <w:t>本项目不涉及</w:t>
      </w:r>
      <w:r>
        <w:rPr>
          <w:rFonts w:hint="eastAsia" w:ascii="仿宋" w:hAnsi="仿宋" w:eastAsia="仿宋" w:cs="仿宋"/>
          <w:sz w:val="28"/>
          <w:szCs w:val="28"/>
          <w:highlight w:val="none"/>
          <w:lang w:val="zh-CN"/>
        </w:rPr>
        <w:t>。</w:t>
      </w:r>
    </w:p>
    <w:p>
      <w:pPr>
        <w:spacing w:after="0" w:line="540" w:lineRule="exact"/>
        <w:ind w:firstLine="562" w:firstLineChars="200"/>
        <w:jc w:val="both"/>
        <w:rPr>
          <w:rFonts w:ascii="仿宋" w:hAnsi="仿宋" w:eastAsia="仿宋" w:cs="仿宋"/>
          <w:b/>
          <w:bCs/>
          <w:sz w:val="28"/>
          <w:szCs w:val="28"/>
          <w:highlight w:val="none"/>
          <w:lang w:val="zh-CN"/>
        </w:rPr>
      </w:pPr>
      <w:r>
        <w:rPr>
          <w:rFonts w:hint="eastAsia" w:ascii="仿宋" w:hAnsi="仿宋" w:eastAsia="仿宋" w:cs="仿宋"/>
          <w:b/>
          <w:bCs/>
          <w:sz w:val="28"/>
          <w:szCs w:val="28"/>
          <w:highlight w:val="none"/>
        </w:rPr>
        <w:t>五、</w:t>
      </w:r>
      <w:r>
        <w:rPr>
          <w:rFonts w:hint="eastAsia" w:ascii="仿宋" w:hAnsi="仿宋" w:eastAsia="仿宋" w:cs="仿宋"/>
          <w:b/>
          <w:bCs/>
          <w:sz w:val="28"/>
          <w:szCs w:val="28"/>
          <w:highlight w:val="none"/>
          <w:lang w:val="zh-CN"/>
        </w:rPr>
        <w:t>开标、评标</w:t>
      </w:r>
    </w:p>
    <w:p>
      <w:pPr>
        <w:spacing w:after="0" w:line="540" w:lineRule="exact"/>
        <w:ind w:firstLine="560" w:firstLineChars="200"/>
        <w:jc w:val="both"/>
        <w:rPr>
          <w:rFonts w:ascii="仿宋" w:hAnsi="仿宋" w:eastAsia="仿宋" w:cs="仿宋"/>
          <w:sz w:val="28"/>
          <w:szCs w:val="28"/>
          <w:highlight w:val="none"/>
        </w:rPr>
      </w:pPr>
      <w:r>
        <w:rPr>
          <w:rFonts w:hint="eastAsia" w:ascii="仿宋" w:hAnsi="仿宋" w:eastAsia="仿宋" w:cs="仿宋"/>
          <w:sz w:val="28"/>
          <w:szCs w:val="28"/>
          <w:highlight w:val="none"/>
          <w:lang w:val="zh-CN"/>
        </w:rPr>
        <w:t>1、时间：</w:t>
      </w:r>
      <w:r>
        <w:rPr>
          <w:rFonts w:hint="eastAsia" w:ascii="仿宋" w:hAnsi="仿宋" w:eastAsia="仿宋" w:cs="仿宋"/>
          <w:b/>
          <w:bCs/>
          <w:color w:val="auto"/>
          <w:sz w:val="28"/>
          <w:szCs w:val="28"/>
          <w:highlight w:val="none"/>
          <w:u w:val="single"/>
          <w:lang w:val="zh-CN"/>
        </w:rPr>
        <w:t>202</w:t>
      </w:r>
      <w:r>
        <w:rPr>
          <w:rFonts w:hint="eastAsia" w:ascii="仿宋" w:hAnsi="仿宋" w:eastAsia="仿宋" w:cs="仿宋"/>
          <w:b/>
          <w:bCs/>
          <w:color w:val="auto"/>
          <w:sz w:val="28"/>
          <w:szCs w:val="28"/>
          <w:highlight w:val="none"/>
          <w:u w:val="single"/>
          <w:lang w:val="en-US" w:eastAsia="zh-CN"/>
        </w:rPr>
        <w:t>2</w:t>
      </w:r>
      <w:r>
        <w:rPr>
          <w:rFonts w:hint="eastAsia" w:ascii="仿宋" w:hAnsi="仿宋" w:eastAsia="仿宋" w:cs="仿宋"/>
          <w:b/>
          <w:bCs/>
          <w:color w:val="auto"/>
          <w:sz w:val="28"/>
          <w:szCs w:val="28"/>
          <w:highlight w:val="none"/>
          <w:u w:val="single"/>
          <w:lang w:val="zh-CN"/>
        </w:rPr>
        <w:t>年</w:t>
      </w:r>
      <w:r>
        <w:rPr>
          <w:rFonts w:hint="eastAsia" w:ascii="仿宋" w:hAnsi="仿宋" w:eastAsia="仿宋" w:cs="仿宋"/>
          <w:b/>
          <w:bCs/>
          <w:color w:val="auto"/>
          <w:sz w:val="28"/>
          <w:szCs w:val="28"/>
          <w:highlight w:val="none"/>
          <w:u w:val="single"/>
          <w:lang w:val="en-US" w:eastAsia="zh-CN"/>
        </w:rPr>
        <w:t>06</w:t>
      </w:r>
      <w:r>
        <w:rPr>
          <w:rFonts w:hint="eastAsia" w:ascii="仿宋" w:hAnsi="仿宋" w:eastAsia="仿宋" w:cs="仿宋"/>
          <w:b/>
          <w:bCs/>
          <w:color w:val="auto"/>
          <w:sz w:val="28"/>
          <w:szCs w:val="28"/>
          <w:highlight w:val="none"/>
          <w:u w:val="single"/>
          <w:lang w:val="zh-CN"/>
        </w:rPr>
        <w:t>月</w:t>
      </w:r>
      <w:r>
        <w:rPr>
          <w:rFonts w:hint="eastAsia" w:ascii="仿宋" w:hAnsi="仿宋" w:eastAsia="仿宋" w:cs="仿宋"/>
          <w:b/>
          <w:bCs/>
          <w:color w:val="auto"/>
          <w:sz w:val="28"/>
          <w:szCs w:val="28"/>
          <w:highlight w:val="none"/>
          <w:u w:val="single"/>
          <w:lang w:val="en-US" w:eastAsia="zh-CN"/>
        </w:rPr>
        <w:t>24</w:t>
      </w:r>
      <w:r>
        <w:rPr>
          <w:rFonts w:hint="eastAsia" w:ascii="仿宋" w:hAnsi="仿宋" w:eastAsia="仿宋" w:cs="仿宋"/>
          <w:b/>
          <w:bCs/>
          <w:color w:val="auto"/>
          <w:sz w:val="28"/>
          <w:szCs w:val="28"/>
          <w:highlight w:val="none"/>
          <w:u w:val="single"/>
          <w:lang w:val="zh-CN"/>
        </w:rPr>
        <w:t>日9点30分</w:t>
      </w:r>
      <w:r>
        <w:rPr>
          <w:rFonts w:hint="eastAsia" w:ascii="仿宋" w:hAnsi="仿宋" w:eastAsia="仿宋" w:cs="仿宋"/>
          <w:b/>
          <w:bCs/>
          <w:sz w:val="28"/>
          <w:szCs w:val="28"/>
          <w:highlight w:val="none"/>
          <w:u w:val="single"/>
          <w:lang w:val="zh-CN"/>
        </w:rPr>
        <w:t>（北京时间）</w:t>
      </w:r>
      <w:r>
        <w:rPr>
          <w:rFonts w:hint="eastAsia" w:ascii="仿宋" w:hAnsi="仿宋" w:eastAsia="仿宋" w:cs="仿宋"/>
          <w:b/>
          <w:bCs/>
          <w:sz w:val="28"/>
          <w:szCs w:val="28"/>
          <w:highlight w:val="none"/>
          <w:u w:val="single"/>
        </w:rPr>
        <w:t>;</w:t>
      </w:r>
    </w:p>
    <w:p>
      <w:pPr>
        <w:spacing w:after="0" w:line="540" w:lineRule="exact"/>
        <w:ind w:firstLine="560" w:firstLineChars="200"/>
        <w:jc w:val="both"/>
        <w:rPr>
          <w:rFonts w:ascii="仿宋" w:hAnsi="仿宋" w:eastAsia="仿宋" w:cs="仿宋"/>
          <w:b/>
          <w:bCs/>
          <w:sz w:val="28"/>
          <w:szCs w:val="28"/>
          <w:highlight w:val="none"/>
          <w:u w:val="single"/>
          <w:lang w:val="zh-CN"/>
        </w:rPr>
      </w:pPr>
      <w:r>
        <w:rPr>
          <w:rFonts w:hint="eastAsia" w:ascii="仿宋" w:hAnsi="仿宋" w:eastAsia="仿宋" w:cs="仿宋"/>
          <w:sz w:val="28"/>
          <w:szCs w:val="28"/>
          <w:highlight w:val="none"/>
          <w:lang w:val="zh-CN"/>
        </w:rPr>
        <w:t>2、地点：</w:t>
      </w:r>
      <w:r>
        <w:rPr>
          <w:rFonts w:hint="eastAsia" w:ascii="仿宋" w:hAnsi="仿宋" w:eastAsia="仿宋" w:cs="仿宋"/>
          <w:b/>
          <w:bCs/>
          <w:sz w:val="28"/>
          <w:szCs w:val="28"/>
          <w:highlight w:val="none"/>
          <w:u w:val="single"/>
        </w:rPr>
        <w:t>南通市濠南路32号3号楼3楼</w:t>
      </w:r>
      <w:r>
        <w:rPr>
          <w:rFonts w:hint="eastAsia" w:ascii="仿宋" w:hAnsi="仿宋" w:eastAsia="仿宋" w:cs="仿宋"/>
          <w:sz w:val="28"/>
          <w:szCs w:val="28"/>
          <w:highlight w:val="none"/>
          <w:lang w:val="zh-CN"/>
        </w:rPr>
        <w:t>，如有变动另行通知。</w:t>
      </w:r>
    </w:p>
    <w:p>
      <w:pPr>
        <w:spacing w:after="0" w:line="540" w:lineRule="exact"/>
        <w:ind w:firstLine="560" w:firstLineChars="200"/>
        <w:jc w:val="both"/>
        <w:rPr>
          <w:rFonts w:ascii="仿宋" w:hAnsi="仿宋" w:eastAsia="仿宋" w:cs="仿宋"/>
          <w:b/>
          <w:bCs/>
          <w:sz w:val="28"/>
          <w:szCs w:val="28"/>
          <w:highlight w:val="none"/>
          <w:lang w:val="zh-CN"/>
        </w:rPr>
      </w:pPr>
      <w:r>
        <w:rPr>
          <w:rFonts w:hint="eastAsia" w:ascii="仿宋" w:hAnsi="仿宋" w:eastAsia="仿宋" w:cs="仿宋"/>
          <w:sz w:val="28"/>
          <w:szCs w:val="28"/>
          <w:highlight w:val="none"/>
          <w:lang w:val="zh-CN"/>
        </w:rPr>
        <w:t>3、</w:t>
      </w:r>
      <w:r>
        <w:rPr>
          <w:rFonts w:hint="eastAsia" w:ascii="仿宋" w:hAnsi="仿宋" w:eastAsia="仿宋" w:cs="仿宋"/>
          <w:b/>
          <w:bCs/>
          <w:sz w:val="28"/>
          <w:szCs w:val="28"/>
          <w:highlight w:val="none"/>
          <w:lang w:val="zh-CN"/>
        </w:rPr>
        <w:t>评标流程:评标委员会将根据</w:t>
      </w:r>
      <w:r>
        <w:rPr>
          <w:rFonts w:hint="eastAsia" w:ascii="仿宋" w:hAnsi="仿宋" w:eastAsia="仿宋" w:cs="仿宋"/>
          <w:b/>
          <w:bCs/>
          <w:sz w:val="28"/>
          <w:szCs w:val="28"/>
          <w:highlight w:val="none"/>
        </w:rPr>
        <w:t>询价</w:t>
      </w:r>
      <w:r>
        <w:rPr>
          <w:rFonts w:hint="eastAsia" w:ascii="仿宋" w:hAnsi="仿宋" w:eastAsia="仿宋" w:cs="仿宋"/>
          <w:b/>
          <w:bCs/>
          <w:sz w:val="28"/>
          <w:szCs w:val="28"/>
          <w:highlight w:val="none"/>
          <w:lang w:val="zh-CN"/>
        </w:rPr>
        <w:t>文件相关标准对供应商的资格进行审查，审查通过方可参与项目的价格评标。符合要求的前提下，报价最低者成交,报价如有相同者，抽签确定成交供应商。</w:t>
      </w:r>
    </w:p>
    <w:p>
      <w:pPr>
        <w:spacing w:after="0" w:line="540" w:lineRule="exact"/>
        <w:ind w:firstLine="560" w:firstLineChars="200"/>
        <w:jc w:val="both"/>
        <w:rPr>
          <w:rFonts w:ascii="仿宋" w:hAnsi="仿宋" w:eastAsia="仿宋" w:cs="仿宋"/>
          <w:sz w:val="28"/>
          <w:szCs w:val="28"/>
          <w:highlight w:val="none"/>
        </w:rPr>
      </w:pPr>
      <w:r>
        <w:rPr>
          <w:rFonts w:hint="eastAsia" w:ascii="仿宋" w:hAnsi="仿宋" w:eastAsia="仿宋" w:cs="仿宋"/>
          <w:sz w:val="28"/>
          <w:szCs w:val="28"/>
          <w:highlight w:val="none"/>
        </w:rPr>
        <w:t>4、评标价折扣</w:t>
      </w:r>
    </w:p>
    <w:p>
      <w:pPr>
        <w:spacing w:after="0" w:line="540" w:lineRule="exact"/>
        <w:ind w:firstLine="560" w:firstLineChars="200"/>
        <w:jc w:val="both"/>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4.1</w:t>
      </w:r>
      <w:r>
        <w:rPr>
          <w:rFonts w:hint="eastAsia" w:ascii="仿宋" w:hAnsi="仿宋" w:eastAsia="仿宋" w:cs="仿宋"/>
          <w:color w:val="auto"/>
          <w:sz w:val="28"/>
          <w:szCs w:val="28"/>
          <w:highlight w:val="none"/>
          <w:lang w:val="zh-CN"/>
        </w:rPr>
        <w:t>小微型企业价格扣除</w:t>
      </w:r>
    </w:p>
    <w:p>
      <w:pPr>
        <w:spacing w:after="0" w:line="540" w:lineRule="exact"/>
        <w:ind w:firstLine="560" w:firstLineChars="200"/>
        <w:jc w:val="both"/>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（1）本项目对小型和微型企业产品给予6%（疫情防控期间按照10%执行）的扣除价格，用扣除后的价格参与评审。</w:t>
      </w:r>
    </w:p>
    <w:p>
      <w:pPr>
        <w:spacing w:after="0" w:line="540" w:lineRule="exact"/>
        <w:ind w:firstLine="560" w:firstLineChars="200"/>
        <w:jc w:val="both"/>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（2）供应商需按照采购文件的要求提供相应的《小型、微型企业声明函》。</w:t>
      </w:r>
    </w:p>
    <w:p>
      <w:pPr>
        <w:spacing w:after="0" w:line="540" w:lineRule="exact"/>
        <w:ind w:firstLine="560" w:firstLineChars="200"/>
        <w:jc w:val="both"/>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（3）企业标准请参照《关于印发中小企业划型标准规定的通知》（工信部联企业[2011]300号）文件规定自行填写。</w:t>
      </w:r>
    </w:p>
    <w:p>
      <w:pPr>
        <w:spacing w:after="0" w:line="540" w:lineRule="exact"/>
        <w:ind w:firstLine="560" w:firstLineChars="200"/>
        <w:jc w:val="both"/>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zh-CN"/>
        </w:rPr>
        <w:t>2残疾人福利单位价格扣除</w:t>
      </w:r>
    </w:p>
    <w:p>
      <w:pPr>
        <w:spacing w:after="0" w:line="540" w:lineRule="exact"/>
        <w:ind w:firstLine="560" w:firstLineChars="200"/>
        <w:jc w:val="both"/>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（1）本项目对残疾人福利性单位视同小型、微型企业，给予6%的价格扣除，用扣除后的价格参与评审。</w:t>
      </w:r>
    </w:p>
    <w:p>
      <w:pPr>
        <w:spacing w:after="0" w:line="540" w:lineRule="exact"/>
        <w:ind w:firstLine="560" w:firstLineChars="200"/>
        <w:jc w:val="both"/>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（2）残疾人福利单位需按照采购文件的要求提供《残疾人福利性单位声明函》。</w:t>
      </w:r>
    </w:p>
    <w:p>
      <w:pPr>
        <w:spacing w:after="0" w:line="540" w:lineRule="exact"/>
        <w:ind w:firstLine="560" w:firstLineChars="200"/>
        <w:jc w:val="both"/>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（3）残疾人福利单位标准请参照《关于促进残疾人就业政府采购政策的通知》（财库〔2017〕141号）。</w:t>
      </w:r>
    </w:p>
    <w:p>
      <w:pPr>
        <w:spacing w:after="0" w:line="540" w:lineRule="exact"/>
        <w:ind w:firstLine="560" w:firstLineChars="200"/>
        <w:jc w:val="both"/>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zh-CN"/>
        </w:rPr>
        <w:t>3监狱和戒毒企业价格扣除</w:t>
      </w:r>
    </w:p>
    <w:p>
      <w:pPr>
        <w:spacing w:after="0" w:line="540" w:lineRule="exact"/>
        <w:ind w:firstLine="560" w:firstLineChars="200"/>
        <w:jc w:val="both"/>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（1）本项目对监狱和戒毒企业（简称监狱企业）视同小型、微型企业，给予6%的价格扣除，用扣除后的价格参与评审。</w:t>
      </w:r>
    </w:p>
    <w:p>
      <w:pPr>
        <w:spacing w:after="0" w:line="540" w:lineRule="exact"/>
        <w:ind w:firstLine="560" w:firstLineChars="200"/>
        <w:jc w:val="both"/>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（2）监狱企业参加政府采购活动时，需提供由省级以上监狱管理局、戒毒管理局(含新疆生产建设兵团)出具的属于监狱企业的证明文件。供应商如不提供上述证明文件，价格将不做相应扣除。</w:t>
      </w:r>
    </w:p>
    <w:p>
      <w:pPr>
        <w:spacing w:after="0" w:line="540" w:lineRule="exact"/>
        <w:ind w:firstLine="560" w:firstLineChars="200"/>
        <w:jc w:val="both"/>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（3）监狱企业标准请参照《关于政府采购支持监狱企业发展有关问题的通知》（财库[2014]68号）。</w:t>
      </w:r>
    </w:p>
    <w:p>
      <w:pPr>
        <w:spacing w:after="0" w:line="540" w:lineRule="exact"/>
        <w:ind w:firstLine="560" w:firstLineChars="200"/>
        <w:jc w:val="both"/>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zh-CN"/>
        </w:rPr>
        <w:t>4残疾人福利单位、监狱企业属于小型、微型企业的，不重复享受政策。</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、评标委员会负责具体评标事务。</w:t>
      </w:r>
    </w:p>
    <w:p>
      <w:pPr>
        <w:spacing w:after="0" w:line="540" w:lineRule="exact"/>
        <w:ind w:firstLine="562" w:firstLineChars="200"/>
        <w:jc w:val="both"/>
        <w:rPr>
          <w:rFonts w:ascii="仿宋" w:hAnsi="仿宋" w:eastAsia="仿宋" w:cs="仿宋"/>
          <w:b/>
          <w:bCs/>
          <w:sz w:val="28"/>
          <w:szCs w:val="28"/>
          <w:highlight w:val="none"/>
          <w:lang w:val="zh-CN"/>
        </w:rPr>
      </w:pPr>
      <w:r>
        <w:rPr>
          <w:rFonts w:hint="eastAsia" w:ascii="仿宋" w:hAnsi="仿宋" w:eastAsia="仿宋" w:cs="仿宋"/>
          <w:b/>
          <w:bCs/>
          <w:sz w:val="28"/>
          <w:szCs w:val="28"/>
          <w:highlight w:val="none"/>
        </w:rPr>
        <w:t>六、</w:t>
      </w:r>
      <w:r>
        <w:rPr>
          <w:rFonts w:hint="eastAsia" w:ascii="仿宋" w:hAnsi="仿宋" w:eastAsia="仿宋" w:cs="仿宋"/>
          <w:b/>
          <w:bCs/>
          <w:sz w:val="28"/>
          <w:szCs w:val="28"/>
          <w:highlight w:val="none"/>
          <w:lang w:val="zh-CN"/>
        </w:rPr>
        <w:t>投标费用</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rPr>
        <w:t>1、本项目招标代理费</w:t>
      </w:r>
      <w:r>
        <w:rPr>
          <w:rFonts w:hint="eastAsia" w:ascii="仿宋" w:hAnsi="仿宋" w:eastAsia="仿宋" w:cs="仿宋"/>
          <w:sz w:val="28"/>
          <w:szCs w:val="28"/>
          <w:highlight w:val="none"/>
          <w:lang w:val="zh-CN"/>
        </w:rPr>
        <w:t>按照发改价格[2011]534号文标准的计收</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由成交供应商</w:t>
      </w:r>
      <w:r>
        <w:rPr>
          <w:rFonts w:hint="eastAsia" w:ascii="仿宋" w:hAnsi="仿宋" w:eastAsia="仿宋" w:cs="仿宋"/>
          <w:sz w:val="28"/>
          <w:szCs w:val="28"/>
          <w:highlight w:val="none"/>
          <w:lang w:val="en-US" w:eastAsia="zh-CN"/>
        </w:rPr>
        <w:t>支</w:t>
      </w:r>
      <w:r>
        <w:rPr>
          <w:rFonts w:hint="eastAsia" w:ascii="仿宋" w:hAnsi="仿宋" w:eastAsia="仿宋" w:cs="仿宋"/>
          <w:sz w:val="28"/>
          <w:szCs w:val="28"/>
          <w:highlight w:val="none"/>
          <w:lang w:val="zh-CN"/>
        </w:rPr>
        <w:t>付给代理机构，评委费按</w:t>
      </w:r>
      <w:r>
        <w:rPr>
          <w:rFonts w:hint="eastAsia" w:ascii="仿宋" w:hAnsi="仿宋" w:eastAsia="仿宋" w:cs="仿宋"/>
          <w:sz w:val="28"/>
          <w:szCs w:val="28"/>
          <w:highlight w:val="none"/>
        </w:rPr>
        <w:t>实支付</w:t>
      </w:r>
      <w:r>
        <w:rPr>
          <w:rFonts w:hint="eastAsia" w:ascii="仿宋" w:hAnsi="仿宋" w:eastAsia="仿宋" w:cs="仿宋"/>
          <w:sz w:val="28"/>
          <w:szCs w:val="28"/>
          <w:highlight w:val="none"/>
          <w:lang w:val="zh-CN"/>
        </w:rPr>
        <w:t>，由成交供应商</w:t>
      </w:r>
      <w:r>
        <w:rPr>
          <w:rFonts w:hint="eastAsia" w:ascii="仿宋" w:hAnsi="仿宋" w:eastAsia="仿宋" w:cs="仿宋"/>
          <w:sz w:val="28"/>
          <w:szCs w:val="28"/>
          <w:highlight w:val="none"/>
        </w:rPr>
        <w:t>在开标现场</w:t>
      </w:r>
      <w:r>
        <w:rPr>
          <w:rFonts w:hint="eastAsia" w:ascii="仿宋" w:hAnsi="仿宋" w:eastAsia="仿宋" w:cs="仿宋"/>
          <w:sz w:val="28"/>
          <w:szCs w:val="28"/>
          <w:highlight w:val="none"/>
          <w:lang w:val="zh-CN"/>
        </w:rPr>
        <w:t>付给代理机构。投标人须综合考虑在投标响应报价内，不单列。</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zh-CN"/>
        </w:rPr>
        <w:t>、无论询价过程和结果如何，参加询价的响应人自行承担与本次项目询价有关的全部费用。</w:t>
      </w:r>
    </w:p>
    <w:p>
      <w:pPr>
        <w:spacing w:after="0" w:line="540" w:lineRule="exact"/>
        <w:ind w:firstLine="562" w:firstLineChars="200"/>
        <w:jc w:val="both"/>
        <w:rPr>
          <w:rFonts w:ascii="仿宋" w:hAnsi="仿宋" w:eastAsia="仿宋" w:cs="仿宋"/>
          <w:b/>
          <w:bCs/>
          <w:sz w:val="28"/>
          <w:szCs w:val="28"/>
          <w:highlight w:val="none"/>
          <w:lang w:val="zh-CN"/>
        </w:rPr>
      </w:pPr>
      <w:r>
        <w:rPr>
          <w:rFonts w:hint="eastAsia" w:ascii="仿宋" w:hAnsi="仿宋" w:eastAsia="仿宋" w:cs="仿宋"/>
          <w:b/>
          <w:bCs/>
          <w:sz w:val="28"/>
          <w:szCs w:val="28"/>
          <w:highlight w:val="none"/>
        </w:rPr>
        <w:t>七、</w:t>
      </w:r>
      <w:r>
        <w:rPr>
          <w:rFonts w:hint="eastAsia" w:ascii="仿宋" w:hAnsi="仿宋" w:eastAsia="仿宋" w:cs="仿宋"/>
          <w:b/>
          <w:bCs/>
          <w:sz w:val="28"/>
          <w:szCs w:val="28"/>
          <w:highlight w:val="none"/>
          <w:lang w:val="zh-CN"/>
        </w:rPr>
        <w:t>询价响应文件的编写及装订</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（一）询价响应文件应包括全部下列内容（以下内容不得缺项，如有缺项视为无效响应）：</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A、资格审查文件：</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（1）提供营业执照复印件加盖公章；</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）符合政府采购法22条规定的声明；</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zh-CN"/>
        </w:rPr>
        <w:t>）提供法人代表身份证明及本人身份证复印件；非法人代表参加询价的，</w:t>
      </w:r>
      <w:r>
        <w:rPr>
          <w:rFonts w:hint="eastAsia" w:ascii="仿宋" w:hAnsi="仿宋" w:eastAsia="仿宋" w:cs="仿宋"/>
          <w:sz w:val="28"/>
          <w:szCs w:val="28"/>
          <w:highlight w:val="none"/>
        </w:rPr>
        <w:t>另需</w:t>
      </w:r>
      <w:r>
        <w:rPr>
          <w:rFonts w:hint="eastAsia" w:ascii="仿宋" w:hAnsi="仿宋" w:eastAsia="仿宋" w:cs="仿宋"/>
          <w:sz w:val="28"/>
          <w:szCs w:val="28"/>
          <w:highlight w:val="none"/>
          <w:lang w:val="zh-CN"/>
        </w:rPr>
        <w:t>提供法人委托书、被委托人身份证复印件；</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val="zh-CN"/>
        </w:rPr>
        <w:t>提供参加本项目政府采购活动前3年内在经营活动中没有重大违法记录的书面声明；</w:t>
      </w:r>
    </w:p>
    <w:p>
      <w:pPr>
        <w:pStyle w:val="12"/>
        <w:shd w:val="clear" w:color="auto" w:fill="FFFFFF"/>
        <w:spacing w:beforeAutospacing="0" w:afterAutospacing="0" w:line="460" w:lineRule="exact"/>
        <w:ind w:firstLine="560" w:firstLineChars="200"/>
        <w:jc w:val="both"/>
        <w:rPr>
          <w:rFonts w:hint="eastAsia" w:ascii="仿宋" w:hAnsi="仿宋" w:eastAsia="仿宋" w:cs="仿宋"/>
          <w:b/>
          <w:bCs/>
          <w:sz w:val="28"/>
          <w:szCs w:val="28"/>
          <w:highlight w:val="none"/>
          <w:lang w:eastAsia="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技术条款响应一览表，</w:t>
      </w:r>
      <w:r>
        <w:rPr>
          <w:rFonts w:hint="eastAsia" w:ascii="仿宋" w:hAnsi="仿宋" w:eastAsia="仿宋" w:cs="仿宋"/>
          <w:sz w:val="28"/>
          <w:szCs w:val="28"/>
          <w:highlight w:val="none"/>
        </w:rPr>
        <w:t>采购清单中要求提供的技术参数偏离表</w:t>
      </w:r>
      <w:r>
        <w:rPr>
          <w:rFonts w:hint="eastAsia" w:ascii="仿宋" w:hAnsi="仿宋" w:eastAsia="仿宋" w:cs="仿宋"/>
          <w:b/>
          <w:bCs/>
          <w:sz w:val="28"/>
          <w:szCs w:val="28"/>
          <w:highlight w:val="none"/>
          <w:lang w:eastAsia="zh-CN"/>
        </w:rPr>
        <w:t>。</w:t>
      </w:r>
    </w:p>
    <w:p>
      <w:pPr>
        <w:spacing w:after="0" w:line="540" w:lineRule="exact"/>
        <w:ind w:firstLine="560" w:firstLineChars="200"/>
        <w:jc w:val="both"/>
        <w:rPr>
          <w:rFonts w:hint="eastAsia" w:ascii="仿宋" w:hAnsi="仿宋" w:eastAsia="仿宋" w:cs="仿宋"/>
          <w:sz w:val="28"/>
          <w:szCs w:val="28"/>
          <w:highlight w:val="none"/>
          <w:lang w:val="zh-CN"/>
        </w:rPr>
      </w:pP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B、商务报价响应文件</w:t>
      </w:r>
    </w:p>
    <w:p>
      <w:pPr>
        <w:spacing w:after="0" w:line="540" w:lineRule="exact"/>
        <w:ind w:firstLine="560" w:firstLineChars="2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商务报价应包括询价文件所确定的全部范围及相应说明的全部内容，包括响应及完成委托工作所需的一切费用，包含但不限于如所投设备及其备品、备件和专用工具费用、税费及包装、运至最终目的地的运输、保险、现场安装、检测验收、技术支持与培训、售后服务与维保及相关劳务支出等所发生的全部费用以及企业利润、税金和政策性文件规定及合同包含的所有风险、责任等各项应有费用。</w:t>
      </w:r>
    </w:p>
    <w:p>
      <w:pPr>
        <w:spacing w:after="0" w:line="540" w:lineRule="exact"/>
        <w:ind w:firstLine="560" w:firstLineChars="2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开标一览表。</w:t>
      </w:r>
    </w:p>
    <w:p>
      <w:pPr>
        <w:numPr>
          <w:ilvl w:val="0"/>
          <w:numId w:val="0"/>
        </w:numPr>
        <w:spacing w:after="0" w:line="540" w:lineRule="exact"/>
        <w:ind w:firstLine="560" w:firstLineChars="2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.报价</w:t>
      </w:r>
      <w:r>
        <w:rPr>
          <w:rFonts w:hint="eastAsia" w:ascii="仿宋" w:hAnsi="仿宋" w:eastAsia="仿宋" w:cs="仿宋"/>
          <w:sz w:val="28"/>
          <w:szCs w:val="28"/>
          <w:highlight w:val="none"/>
          <w:lang w:val="zh-CN" w:eastAsia="zh-CN"/>
        </w:rPr>
        <w:t>单</w:t>
      </w:r>
      <w:r>
        <w:rPr>
          <w:rFonts w:hint="eastAsia" w:ascii="仿宋" w:hAnsi="仿宋" w:eastAsia="仿宋" w:cs="仿宋"/>
          <w:sz w:val="28"/>
          <w:szCs w:val="28"/>
          <w:highlight w:val="none"/>
          <w:lang w:val="zh-CN"/>
        </w:rPr>
        <w:t>（按采购需求清单报价）。</w:t>
      </w:r>
    </w:p>
    <w:p>
      <w:pPr>
        <w:spacing w:after="0" w:line="54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.小微企业申明函</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特别提醒：响应文件所须提供的材料（须加盖投标供应商公章）按询价文件要求装订，密封，递交。</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（二）询价响应文件的编制及装订</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询价响应文件由：①资格审查文件、②商务报价响应文件共两部分组成。</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供应商按询价文件要求编写响应文件，并牢固装订成册。询价响应文件均需采用A4纸（图纸等除外）装订成册。询价响应文件不得行间插字、涂改、增删，如修改错漏处，须经询价响应文件签署人签字并加盖公章。</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询价响应文件的 “资格审查文件”、 “商务报价响应文件”各自装订成册。特别提示：“商务报价响应文件”必须单独装订和封装，不得出现在“资格审查文件”中。</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（三）询价响应文件的份数、签署</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1.供应商应准备</w:t>
      </w:r>
      <w:r>
        <w:rPr>
          <w:rFonts w:hint="eastAsia" w:ascii="仿宋" w:hAnsi="仿宋" w:eastAsia="仿宋" w:cs="仿宋"/>
          <w:b/>
          <w:bCs/>
          <w:sz w:val="28"/>
          <w:szCs w:val="28"/>
          <w:highlight w:val="none"/>
          <w:u w:val="single"/>
          <w:lang w:val="zh-CN"/>
        </w:rPr>
        <w:t xml:space="preserve"> 叁 </w:t>
      </w:r>
      <w:r>
        <w:rPr>
          <w:rFonts w:hint="eastAsia" w:ascii="仿宋" w:hAnsi="仿宋" w:eastAsia="仿宋" w:cs="仿宋"/>
          <w:sz w:val="28"/>
          <w:szCs w:val="28"/>
          <w:highlight w:val="none"/>
          <w:lang w:val="zh-CN"/>
        </w:rPr>
        <w:t>份完整的询价响应文件，其中正本</w:t>
      </w:r>
      <w:r>
        <w:rPr>
          <w:rFonts w:hint="eastAsia" w:ascii="仿宋" w:hAnsi="仿宋" w:eastAsia="仿宋" w:cs="仿宋"/>
          <w:b/>
          <w:bCs/>
          <w:sz w:val="28"/>
          <w:szCs w:val="28"/>
          <w:highlight w:val="none"/>
          <w:u w:val="single"/>
          <w:lang w:val="zh-CN"/>
        </w:rPr>
        <w:t xml:space="preserve"> 壹 </w:t>
      </w:r>
      <w:r>
        <w:rPr>
          <w:rFonts w:hint="eastAsia" w:ascii="仿宋" w:hAnsi="仿宋" w:eastAsia="仿宋" w:cs="仿宋"/>
          <w:sz w:val="28"/>
          <w:szCs w:val="28"/>
          <w:highlight w:val="none"/>
          <w:lang w:val="zh-CN"/>
        </w:rPr>
        <w:t xml:space="preserve">份，副本 </w:t>
      </w:r>
      <w:r>
        <w:rPr>
          <w:rFonts w:hint="eastAsia" w:ascii="仿宋" w:hAnsi="仿宋" w:eastAsia="仿宋" w:cs="仿宋"/>
          <w:b/>
          <w:bCs/>
          <w:sz w:val="28"/>
          <w:szCs w:val="28"/>
          <w:highlight w:val="none"/>
          <w:u w:val="single"/>
          <w:lang w:val="zh-CN"/>
        </w:rPr>
        <w:t xml:space="preserve">贰 </w:t>
      </w:r>
      <w:r>
        <w:rPr>
          <w:rFonts w:hint="eastAsia" w:ascii="仿宋" w:hAnsi="仿宋" w:eastAsia="仿宋" w:cs="仿宋"/>
          <w:sz w:val="28"/>
          <w:szCs w:val="28"/>
          <w:highlight w:val="none"/>
          <w:lang w:val="zh-CN"/>
        </w:rPr>
        <w:t>份，并标明“正本”或“副本”字样，若有差异，概以“正本”为准。</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2.询价响应文件分两册密封。第一册为“资格审查文件”，第二册为“商务报价响应文件”，响应文件的第一册、第二册应分别密封，并在封袋上标明“第一册 资格审查文件”、 “第二册 商务报价响应文件”以及项目名称。</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3.供应商可将询价响应文件正副本统一密封或分别密封，如正本和副本分别密封的，应在封袋上标明正、副本字样。</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4.询价响应文件正本须按询价文件要求由法定代表人或被授权人签字或盖章并加盖单位印章。副本可复印，但须加盖单位印章。</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（四）询价响应文件的密封及标记</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密封后应标明响应文件项目名称、供应商名称，边缝处加盖单位骑缝章或骑缝签字。</w:t>
      </w:r>
    </w:p>
    <w:p>
      <w:pPr>
        <w:spacing w:after="0" w:line="540" w:lineRule="exact"/>
        <w:ind w:firstLine="562" w:firstLineChars="200"/>
        <w:jc w:val="both"/>
        <w:rPr>
          <w:rFonts w:ascii="仿宋" w:hAnsi="仿宋" w:eastAsia="仿宋" w:cs="仿宋"/>
          <w:b/>
          <w:bCs/>
          <w:sz w:val="28"/>
          <w:szCs w:val="28"/>
          <w:highlight w:val="none"/>
          <w:lang w:val="zh-CN"/>
        </w:rPr>
      </w:pPr>
      <w:r>
        <w:rPr>
          <w:rFonts w:hint="eastAsia" w:ascii="仿宋" w:hAnsi="仿宋" w:eastAsia="仿宋" w:cs="仿宋"/>
          <w:b/>
          <w:bCs/>
          <w:sz w:val="28"/>
          <w:szCs w:val="28"/>
          <w:highlight w:val="none"/>
        </w:rPr>
        <w:t>八、</w:t>
      </w:r>
      <w:r>
        <w:rPr>
          <w:rFonts w:hint="eastAsia" w:ascii="仿宋" w:hAnsi="仿宋" w:eastAsia="仿宋" w:cs="仿宋"/>
          <w:b/>
          <w:bCs/>
          <w:sz w:val="28"/>
          <w:szCs w:val="28"/>
          <w:highlight w:val="none"/>
          <w:lang w:val="zh-CN"/>
        </w:rPr>
        <w:t>出现下列情形之一的，作无效投标处理：</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1.未按照招标文件的规定提交投标保证金的（本项目不涉及，下同）；</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2.投标文件未按招标文件要求签署、盖章的；</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3.不具备招标文件中规定的资格要求的；</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4.报价超过招标文件中规定的预算金额或者最高限价的；</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5.询价响应文件资格审查文件部分出现商务报价的内容；</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6.投标文件含有采购人不能接受的附加条件的；</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7.法律、法规和招标文件规定的其他无效情形；</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8.未能按询价文件要求提供全部</w:t>
      </w:r>
      <w:r>
        <w:rPr>
          <w:rFonts w:hint="eastAsia" w:ascii="仿宋" w:hAnsi="仿宋" w:eastAsia="仿宋" w:cs="仿宋"/>
          <w:sz w:val="28"/>
          <w:szCs w:val="28"/>
          <w:highlight w:val="none"/>
          <w:lang w:val="ru-RU"/>
        </w:rPr>
        <w:t>相关证书等证明材料的。</w:t>
      </w:r>
    </w:p>
    <w:p>
      <w:pPr>
        <w:spacing w:after="0" w:line="540" w:lineRule="exact"/>
        <w:ind w:firstLine="562" w:firstLineChars="200"/>
        <w:jc w:val="both"/>
        <w:rPr>
          <w:rFonts w:ascii="仿宋" w:hAnsi="仿宋" w:eastAsia="仿宋" w:cs="仿宋"/>
          <w:b/>
          <w:bCs/>
          <w:sz w:val="28"/>
          <w:szCs w:val="28"/>
          <w:highlight w:val="none"/>
          <w:lang w:val="zh-CN"/>
        </w:rPr>
      </w:pPr>
      <w:r>
        <w:rPr>
          <w:rFonts w:hint="eastAsia" w:ascii="仿宋" w:hAnsi="仿宋" w:eastAsia="仿宋" w:cs="仿宋"/>
          <w:b/>
          <w:bCs/>
          <w:sz w:val="28"/>
          <w:szCs w:val="28"/>
          <w:highlight w:val="none"/>
        </w:rPr>
        <w:t>九</w:t>
      </w:r>
      <w:r>
        <w:rPr>
          <w:rFonts w:hint="eastAsia" w:ascii="仿宋" w:hAnsi="仿宋" w:eastAsia="仿宋" w:cs="仿宋"/>
          <w:b/>
          <w:bCs/>
          <w:sz w:val="28"/>
          <w:szCs w:val="28"/>
          <w:highlight w:val="none"/>
          <w:lang w:val="zh-CN"/>
        </w:rPr>
        <w:t>、有下列情形之一的，视为投标供应商串通投标，其投标无效：</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1.不同投标供应商的投标文件由同一单位或者个人编制；</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2.不同投标供应商委托同一单位或者个人办理投标事宜；</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3.不同投标供应商的投标文件载明的项目管理成员或者联系人员为同一人；</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4.不同投标供应商的投标文件异常一致或者投标报价呈规律性差异；</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5.不同投标供应商的投标文件相互混装。</w:t>
      </w:r>
    </w:p>
    <w:p>
      <w:pPr>
        <w:spacing w:after="0" w:line="540" w:lineRule="exact"/>
        <w:ind w:firstLine="562" w:firstLineChars="200"/>
        <w:jc w:val="both"/>
        <w:rPr>
          <w:rFonts w:ascii="仿宋" w:hAnsi="仿宋" w:eastAsia="仿宋" w:cs="仿宋"/>
          <w:b/>
          <w:bCs/>
          <w:sz w:val="28"/>
          <w:szCs w:val="28"/>
          <w:highlight w:val="none"/>
          <w:lang w:val="zh-CN"/>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val="zh-CN"/>
        </w:rPr>
        <w:t>、变更为其他方式采购的情形处理</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依据《政府采购货物和服务招标投标管理办法》财政部87号令第四十三条的规定：公开招标数额标准以上的采购项目，投标截止后供应商不足3家或者通过资格审查或符合性审查的供应商不足3家的，除采购任务取消情形外，按照以下方式处理：</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1.招标文件存在不合理条款或者招标程序不符合规定的，采购人、采购代理机构改正后依法重新招标；</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2.招标文件没有不合理条款、招标程序符合规定，需要采用其他采购方式采购的，采购人应当依法报财政部门批准。</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3.依据《政府采购非招标采购方式管理办法》财政部74号令第三条第（三）款的规定：达到公开招标数额标准、经批准采用非公开招标的货物、服务，可以采用竞争性谈判、单一来源采购方式采购，采购货物的，还可以采用询价采购方式。</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4.本项目如实质性响应供应商不足3家的，报经采购单位领导同意后，可视情改为竞争性谈判。</w:t>
      </w:r>
    </w:p>
    <w:p>
      <w:pPr>
        <w:spacing w:after="0" w:line="540" w:lineRule="exact"/>
        <w:ind w:firstLine="562" w:firstLineChars="200"/>
        <w:jc w:val="both"/>
        <w:rPr>
          <w:rFonts w:ascii="仿宋" w:hAnsi="仿宋" w:eastAsia="仿宋" w:cs="仿宋"/>
          <w:b/>
          <w:bCs/>
          <w:sz w:val="28"/>
          <w:szCs w:val="28"/>
          <w:highlight w:val="none"/>
          <w:lang w:val="zh-CN"/>
        </w:rPr>
      </w:pPr>
      <w:r>
        <w:rPr>
          <w:rFonts w:hint="eastAsia" w:ascii="仿宋" w:hAnsi="仿宋" w:eastAsia="仿宋" w:cs="仿宋"/>
          <w:b/>
          <w:bCs/>
          <w:sz w:val="28"/>
          <w:szCs w:val="28"/>
          <w:highlight w:val="none"/>
        </w:rPr>
        <w:t>十一</w:t>
      </w:r>
      <w:r>
        <w:rPr>
          <w:rFonts w:hint="eastAsia" w:ascii="仿宋" w:hAnsi="仿宋" w:eastAsia="仿宋" w:cs="仿宋"/>
          <w:b/>
          <w:bCs/>
          <w:sz w:val="28"/>
          <w:szCs w:val="28"/>
          <w:highlight w:val="none"/>
          <w:lang w:val="zh-CN"/>
        </w:rPr>
        <w:t>、出现下列情形之一的，作废标处理：</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1.出现影响采购公正的违法违规行为的；</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2.所有投标供应商报价超出采购预算价的；</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3.因重大变故，采购任务被取消的；</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4.评标委员会依据法律法规可以认定为废标的其他情况。</w:t>
      </w:r>
    </w:p>
    <w:p>
      <w:pPr>
        <w:spacing w:after="0" w:line="540" w:lineRule="exact"/>
        <w:ind w:firstLine="562" w:firstLineChars="200"/>
        <w:jc w:val="both"/>
        <w:rPr>
          <w:rFonts w:ascii="仿宋" w:hAnsi="仿宋" w:eastAsia="仿宋" w:cs="仿宋"/>
          <w:b/>
          <w:bCs/>
          <w:sz w:val="28"/>
          <w:szCs w:val="28"/>
          <w:highlight w:val="none"/>
          <w:lang w:val="zh-CN"/>
        </w:rPr>
      </w:pPr>
      <w:r>
        <w:rPr>
          <w:rFonts w:hint="eastAsia" w:ascii="仿宋" w:hAnsi="仿宋" w:eastAsia="仿宋" w:cs="仿宋"/>
          <w:b/>
          <w:bCs/>
          <w:sz w:val="28"/>
          <w:szCs w:val="28"/>
          <w:highlight w:val="none"/>
        </w:rPr>
        <w:t>十二</w:t>
      </w:r>
      <w:r>
        <w:rPr>
          <w:rFonts w:hint="eastAsia" w:ascii="仿宋" w:hAnsi="仿宋" w:eastAsia="仿宋" w:cs="仿宋"/>
          <w:b/>
          <w:bCs/>
          <w:sz w:val="28"/>
          <w:szCs w:val="28"/>
          <w:highlight w:val="none"/>
          <w:lang w:val="zh-CN"/>
        </w:rPr>
        <w:t>、成交通知</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1.采购人自成交人确定之日起2个工作日内在指定媒体上公告成交结果。</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2.成交公告期限为1个工作日，期限结束后向成交人发出《成交通知书》。</w:t>
      </w:r>
    </w:p>
    <w:p>
      <w:pPr>
        <w:spacing w:after="0" w:line="540" w:lineRule="exact"/>
        <w:ind w:firstLine="560" w:firstLineChars="200"/>
        <w:jc w:val="both"/>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 xml:space="preserve">3.《成交通知书》一经发出，即具有法律效力。采购人、成交人依法承担法律责任。 </w:t>
      </w:r>
    </w:p>
    <w:p>
      <w:pPr>
        <w:spacing w:after="0" w:line="540" w:lineRule="exact"/>
        <w:ind w:firstLine="562" w:firstLineChars="200"/>
        <w:jc w:val="both"/>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spacing w:after="0" w:line="540" w:lineRule="exact"/>
        <w:ind w:firstLine="562" w:firstLineChars="200"/>
        <w:jc w:val="both"/>
        <w:rPr>
          <w:highlight w:val="none"/>
        </w:rPr>
      </w:pPr>
      <w:r>
        <w:rPr>
          <w:rFonts w:hint="eastAsia" w:ascii="仿宋" w:hAnsi="仿宋" w:eastAsia="仿宋" w:cs="仿宋"/>
          <w:b/>
          <w:bCs/>
          <w:sz w:val="28"/>
          <w:szCs w:val="28"/>
          <w:highlight w:val="none"/>
        </w:rPr>
        <w:t>十三</w:t>
      </w:r>
      <w:r>
        <w:rPr>
          <w:rFonts w:hint="eastAsia" w:ascii="仿宋" w:hAnsi="仿宋" w:eastAsia="仿宋" w:cs="仿宋"/>
          <w:b/>
          <w:bCs/>
          <w:sz w:val="28"/>
          <w:szCs w:val="28"/>
          <w:highlight w:val="none"/>
          <w:lang w:val="zh-CN"/>
        </w:rPr>
        <w:t>、询价响应文件格式</w:t>
      </w:r>
    </w:p>
    <w:p>
      <w:pPr>
        <w:jc w:val="both"/>
        <w:rPr>
          <w:rFonts w:ascii="仿宋" w:hAnsi="仿宋" w:eastAsia="仿宋" w:cs="仿宋"/>
          <w:b/>
          <w:bCs/>
          <w:sz w:val="24"/>
          <w:szCs w:val="24"/>
          <w:highlight w:val="none"/>
        </w:rPr>
      </w:pPr>
      <w:r>
        <w:rPr>
          <w:rFonts w:hint="eastAsia" w:ascii="仿宋" w:hAnsi="仿宋" w:eastAsia="仿宋" w:cs="仿宋"/>
          <w:b/>
          <w:sz w:val="24"/>
          <w:szCs w:val="24"/>
          <w:highlight w:val="none"/>
        </w:rPr>
        <w:t>（一）资格审查文件相关的格式文件及表格</w:t>
      </w:r>
    </w:p>
    <w:p>
      <w:pPr>
        <w:spacing w:line="420" w:lineRule="exact"/>
        <w:jc w:val="center"/>
        <w:outlineLvl w:val="4"/>
        <w:rPr>
          <w:rFonts w:ascii="仿宋" w:hAnsi="仿宋" w:eastAsia="仿宋" w:cs="仿宋"/>
          <w:b/>
          <w:bCs/>
          <w:sz w:val="24"/>
          <w:szCs w:val="24"/>
          <w:highlight w:val="none"/>
        </w:rPr>
      </w:pPr>
      <w:r>
        <w:rPr>
          <w:rFonts w:hint="eastAsia" w:ascii="仿宋" w:hAnsi="仿宋" w:eastAsia="仿宋" w:cs="仿宋"/>
          <w:b/>
          <w:bCs/>
          <w:sz w:val="24"/>
          <w:szCs w:val="24"/>
          <w:highlight w:val="none"/>
        </w:rPr>
        <w:t>1.法定代表人身份证明</w:t>
      </w:r>
    </w:p>
    <w:p>
      <w:pPr>
        <w:spacing w:line="420" w:lineRule="exact"/>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pPr>
        <w:spacing w:line="420" w:lineRule="exact"/>
        <w:jc w:val="both"/>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先生／女士：</w:t>
      </w:r>
      <w:r>
        <w:rPr>
          <w:rFonts w:hint="eastAsia" w:ascii="仿宋" w:hAnsi="仿宋" w:eastAsia="仿宋" w:cs="仿宋"/>
          <w:sz w:val="24"/>
          <w:szCs w:val="24"/>
          <w:highlight w:val="none"/>
        </w:rPr>
        <w:t>现任我单位</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职务，为法定代表人，特此证明。</w:t>
      </w:r>
    </w:p>
    <w:p>
      <w:pPr>
        <w:spacing w:line="420" w:lineRule="exact"/>
        <w:jc w:val="both"/>
        <w:rPr>
          <w:rFonts w:ascii="仿宋" w:hAnsi="仿宋" w:eastAsia="仿宋" w:cs="仿宋"/>
          <w:sz w:val="24"/>
          <w:szCs w:val="24"/>
          <w:highlight w:val="none"/>
          <w:u w:val="single"/>
        </w:rPr>
      </w:pPr>
      <w:r>
        <w:rPr>
          <w:rFonts w:hint="eastAsia" w:ascii="仿宋" w:hAnsi="仿宋" w:eastAsia="仿宋" w:cs="仿宋"/>
          <w:sz w:val="24"/>
          <w:szCs w:val="24"/>
          <w:highlight w:val="none"/>
        </w:rPr>
        <w:t>身份证号码：</w:t>
      </w:r>
    </w:p>
    <w:p>
      <w:pPr>
        <w:spacing w:line="420" w:lineRule="exact"/>
        <w:ind w:firstLine="484" w:firstLineChars="202"/>
        <w:jc w:val="both"/>
        <w:rPr>
          <w:rFonts w:ascii="仿宋" w:hAnsi="仿宋" w:eastAsia="仿宋" w:cs="仿宋"/>
          <w:sz w:val="24"/>
          <w:szCs w:val="24"/>
          <w:highlight w:val="none"/>
        </w:rPr>
      </w:pPr>
      <w:r>
        <w:rPr>
          <w:rFonts w:hint="eastAsia" w:ascii="仿宋" w:hAnsi="仿宋" w:eastAsia="仿宋" w:cs="仿宋"/>
          <w:sz w:val="24"/>
          <w:szCs w:val="24"/>
          <w:highlight w:val="none"/>
        </w:rPr>
        <w:t>询价供应商（盖章）</w:t>
      </w:r>
    </w:p>
    <w:p>
      <w:pPr>
        <w:spacing w:line="420" w:lineRule="exact"/>
        <w:ind w:firstLine="484" w:firstLineChars="202"/>
        <w:jc w:val="both"/>
        <w:rPr>
          <w:rFonts w:ascii="仿宋" w:hAnsi="仿宋" w:eastAsia="仿宋" w:cs="仿宋"/>
          <w:bCs/>
          <w:sz w:val="24"/>
          <w:szCs w:val="24"/>
          <w:highlight w:val="none"/>
        </w:rPr>
      </w:pPr>
      <w:r>
        <w:rPr>
          <w:rFonts w:hint="eastAsia" w:ascii="仿宋" w:hAnsi="仿宋" w:eastAsia="仿宋" w:cs="仿宋"/>
          <w:bCs/>
          <w:sz w:val="24"/>
          <w:szCs w:val="24"/>
          <w:highlight w:val="none"/>
        </w:rPr>
        <w:t>年    月    日</w:t>
      </w:r>
    </w:p>
    <w:p>
      <w:pPr>
        <w:spacing w:line="420" w:lineRule="exact"/>
        <w:jc w:val="both"/>
        <w:rPr>
          <w:rFonts w:hint="eastAsia" w:ascii="仿宋" w:hAnsi="仿宋" w:eastAsia="仿宋" w:cs="仿宋"/>
          <w:sz w:val="24"/>
          <w:szCs w:val="24"/>
          <w:highlight w:val="none"/>
        </w:rPr>
      </w:pPr>
    </w:p>
    <w:p>
      <w:pPr>
        <w:spacing w:line="420" w:lineRule="exact"/>
        <w:jc w:val="both"/>
        <w:rPr>
          <w:rFonts w:ascii="仿宋" w:hAnsi="仿宋" w:eastAsia="仿宋" w:cs="仿宋"/>
          <w:sz w:val="24"/>
          <w:szCs w:val="24"/>
          <w:highlight w:val="none"/>
        </w:rPr>
      </w:pPr>
      <w:r>
        <w:rPr>
          <w:rFonts w:hint="eastAsia" w:ascii="仿宋" w:hAnsi="仿宋" w:eastAsia="仿宋" w:cs="仿宋"/>
          <w:sz w:val="24"/>
          <w:szCs w:val="24"/>
          <w:highlight w:val="none"/>
        </w:rPr>
        <w:t>注：提供法定代表人的身份证复印件并加盖公章</w:t>
      </w:r>
    </w:p>
    <w:p>
      <w:pPr>
        <w:pStyle w:val="4"/>
        <w:rPr>
          <w:highlight w:val="none"/>
        </w:rPr>
      </w:pPr>
    </w:p>
    <w:p>
      <w:pPr>
        <w:spacing w:line="400" w:lineRule="exact"/>
        <w:rPr>
          <w:rFonts w:ascii="仿宋" w:hAnsi="仿宋" w:eastAsia="仿宋" w:cs="仿宋"/>
          <w:b/>
          <w:bCs/>
          <w:sz w:val="24"/>
          <w:szCs w:val="24"/>
          <w:highlight w:val="none"/>
        </w:rPr>
      </w:pPr>
    </w:p>
    <w:p>
      <w:pPr>
        <w:pStyle w:val="5"/>
        <w:rPr>
          <w:rFonts w:ascii="仿宋" w:hAnsi="仿宋" w:eastAsia="仿宋" w:cs="仿宋"/>
          <w:b/>
          <w:bCs/>
          <w:sz w:val="24"/>
          <w:szCs w:val="24"/>
          <w:highlight w:val="none"/>
        </w:rPr>
      </w:pPr>
    </w:p>
    <w:p>
      <w:pPr>
        <w:rPr>
          <w:rFonts w:ascii="仿宋" w:hAnsi="仿宋" w:eastAsia="仿宋" w:cs="仿宋"/>
          <w:b/>
          <w:bCs/>
          <w:sz w:val="24"/>
          <w:szCs w:val="24"/>
          <w:highlight w:val="none"/>
        </w:rPr>
      </w:pPr>
    </w:p>
    <w:p>
      <w:pPr>
        <w:spacing w:line="400" w:lineRule="exact"/>
        <w:rPr>
          <w:rFonts w:ascii="仿宋" w:hAnsi="仿宋" w:eastAsia="仿宋" w:cs="仿宋"/>
          <w:b/>
          <w:bCs/>
          <w:sz w:val="24"/>
          <w:szCs w:val="24"/>
          <w:highlight w:val="none"/>
        </w:rPr>
      </w:pPr>
    </w:p>
    <w:p>
      <w:pPr>
        <w:pStyle w:val="5"/>
        <w:rPr>
          <w:rFonts w:ascii="仿宋" w:hAnsi="仿宋" w:eastAsia="仿宋" w:cs="仿宋"/>
          <w:b/>
          <w:bCs/>
          <w:sz w:val="24"/>
          <w:szCs w:val="24"/>
          <w:highlight w:val="none"/>
        </w:rPr>
      </w:pPr>
    </w:p>
    <w:p>
      <w:pPr>
        <w:rPr>
          <w:rFonts w:ascii="仿宋" w:hAnsi="仿宋" w:eastAsia="仿宋" w:cs="仿宋"/>
          <w:b/>
          <w:bCs/>
          <w:sz w:val="24"/>
          <w:szCs w:val="24"/>
          <w:highlight w:val="none"/>
        </w:rPr>
      </w:pPr>
    </w:p>
    <w:p>
      <w:pPr>
        <w:spacing w:line="400" w:lineRule="exact"/>
        <w:rPr>
          <w:rFonts w:ascii="仿宋" w:hAnsi="仿宋" w:eastAsia="仿宋" w:cs="仿宋"/>
          <w:b/>
          <w:bCs/>
          <w:sz w:val="24"/>
          <w:szCs w:val="24"/>
          <w:highlight w:val="none"/>
        </w:rPr>
      </w:pPr>
    </w:p>
    <w:p>
      <w:pPr>
        <w:pStyle w:val="5"/>
        <w:rPr>
          <w:rFonts w:ascii="仿宋" w:hAnsi="仿宋" w:eastAsia="仿宋" w:cs="仿宋"/>
          <w:b/>
          <w:bCs/>
          <w:sz w:val="24"/>
          <w:szCs w:val="24"/>
          <w:highlight w:val="none"/>
        </w:rPr>
      </w:pPr>
    </w:p>
    <w:p>
      <w:pPr>
        <w:rPr>
          <w:rFonts w:ascii="仿宋" w:hAnsi="仿宋" w:eastAsia="仿宋" w:cs="仿宋"/>
          <w:b/>
          <w:bCs/>
          <w:sz w:val="24"/>
          <w:szCs w:val="24"/>
          <w:highlight w:val="none"/>
        </w:rPr>
      </w:pPr>
    </w:p>
    <w:p>
      <w:pPr>
        <w:spacing w:line="400" w:lineRule="exact"/>
        <w:rPr>
          <w:rFonts w:ascii="仿宋" w:hAnsi="仿宋" w:eastAsia="仿宋" w:cs="仿宋"/>
          <w:b/>
          <w:bCs/>
          <w:sz w:val="24"/>
          <w:szCs w:val="24"/>
          <w:highlight w:val="none"/>
        </w:rPr>
      </w:pPr>
    </w:p>
    <w:p>
      <w:pPr>
        <w:pStyle w:val="2"/>
        <w:rPr>
          <w:rFonts w:ascii="仿宋" w:hAnsi="仿宋" w:eastAsia="仿宋" w:cs="仿宋"/>
          <w:b/>
          <w:bCs/>
          <w:color w:val="auto"/>
          <w:highlight w:val="none"/>
        </w:rPr>
      </w:pPr>
    </w:p>
    <w:p>
      <w:pPr>
        <w:pStyle w:val="2"/>
        <w:rPr>
          <w:rFonts w:ascii="仿宋" w:hAnsi="仿宋" w:eastAsia="仿宋" w:cs="仿宋"/>
          <w:b/>
          <w:bCs/>
          <w:color w:val="auto"/>
          <w:highlight w:val="none"/>
        </w:rPr>
      </w:pPr>
    </w:p>
    <w:p>
      <w:pPr>
        <w:pStyle w:val="5"/>
        <w:ind w:left="0" w:leftChars="0" w:firstLine="0" w:firstLineChars="0"/>
        <w:rPr>
          <w:rFonts w:ascii="仿宋" w:hAnsi="仿宋" w:eastAsia="仿宋" w:cs="仿宋"/>
          <w:b/>
          <w:bCs/>
          <w:sz w:val="24"/>
          <w:szCs w:val="24"/>
          <w:highlight w:val="none"/>
        </w:rPr>
      </w:pPr>
    </w:p>
    <w:p/>
    <w:p>
      <w:pPr>
        <w:spacing w:line="420" w:lineRule="exact"/>
        <w:jc w:val="center"/>
        <w:outlineLvl w:val="4"/>
        <w:rPr>
          <w:rFonts w:ascii="仿宋" w:hAnsi="仿宋" w:eastAsia="仿宋" w:cs="仿宋"/>
          <w:b/>
          <w:bCs/>
          <w:sz w:val="24"/>
          <w:szCs w:val="24"/>
          <w:highlight w:val="none"/>
        </w:rPr>
      </w:pPr>
      <w:r>
        <w:rPr>
          <w:rFonts w:hint="eastAsia" w:ascii="仿宋" w:hAnsi="仿宋" w:eastAsia="仿宋" w:cs="仿宋"/>
          <w:b/>
          <w:bCs/>
          <w:sz w:val="24"/>
          <w:szCs w:val="24"/>
          <w:highlight w:val="none"/>
        </w:rPr>
        <w:t>2.法定代表人授权委托书</w:t>
      </w:r>
    </w:p>
    <w:p>
      <w:pPr>
        <w:spacing w:line="420" w:lineRule="exact"/>
        <w:jc w:val="both"/>
        <w:rPr>
          <w:rFonts w:ascii="仿宋" w:hAnsi="仿宋" w:eastAsia="仿宋" w:cs="仿宋"/>
          <w:bCs/>
          <w:sz w:val="24"/>
          <w:szCs w:val="24"/>
          <w:highlight w:val="none"/>
        </w:rPr>
      </w:pPr>
      <w:r>
        <w:rPr>
          <w:rFonts w:hint="eastAsia" w:ascii="仿宋" w:hAnsi="仿宋" w:eastAsia="仿宋" w:cs="仿宋"/>
          <w:bCs/>
          <w:sz w:val="24"/>
          <w:szCs w:val="24"/>
          <w:highlight w:val="none"/>
        </w:rPr>
        <w:t>南通工贸技师学院：</w:t>
      </w:r>
    </w:p>
    <w:p>
      <w:pPr>
        <w:spacing w:line="420" w:lineRule="exact"/>
        <w:ind w:firstLine="484" w:firstLineChars="202"/>
        <w:jc w:val="both"/>
        <w:rPr>
          <w:rFonts w:ascii="仿宋" w:hAnsi="仿宋" w:eastAsia="仿宋" w:cs="仿宋"/>
          <w:sz w:val="24"/>
          <w:szCs w:val="24"/>
          <w:highlight w:val="none"/>
        </w:rPr>
      </w:pPr>
      <w:r>
        <w:rPr>
          <w:rFonts w:hint="eastAsia" w:ascii="仿宋" w:hAnsi="仿宋" w:eastAsia="仿宋" w:cs="仿宋"/>
          <w:sz w:val="24"/>
          <w:szCs w:val="24"/>
          <w:highlight w:val="none"/>
        </w:rPr>
        <w:t>本授权委托书声明：我</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（姓名）系</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（供应商名称）的法定代表人，现授权委托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（姓名）为我公司代理人，以本公司的名义参加本项目的询价响应活动。代理人在开标、评标、合同谈判过程中所签署的一切文件和处理与之有关的一切事务，我均予以承认。</w:t>
      </w:r>
    </w:p>
    <w:p>
      <w:pPr>
        <w:spacing w:line="420" w:lineRule="exact"/>
        <w:ind w:firstLine="484" w:firstLineChars="202"/>
        <w:jc w:val="both"/>
        <w:rPr>
          <w:rFonts w:ascii="仿宋" w:hAnsi="仿宋" w:eastAsia="仿宋" w:cs="仿宋"/>
          <w:sz w:val="24"/>
          <w:szCs w:val="24"/>
          <w:highlight w:val="none"/>
        </w:rPr>
      </w:pPr>
      <w:r>
        <w:rPr>
          <w:rFonts w:hint="eastAsia" w:ascii="仿宋" w:hAnsi="仿宋" w:eastAsia="仿宋" w:cs="仿宋"/>
          <w:sz w:val="24"/>
          <w:szCs w:val="24"/>
          <w:highlight w:val="none"/>
        </w:rPr>
        <w:t>被委托授权人无转委权。特此委托。</w:t>
      </w:r>
    </w:p>
    <w:p>
      <w:pPr>
        <w:spacing w:line="420" w:lineRule="exact"/>
        <w:ind w:firstLine="972" w:firstLineChars="405"/>
        <w:jc w:val="both"/>
        <w:rPr>
          <w:rFonts w:ascii="仿宋" w:hAnsi="仿宋" w:eastAsia="仿宋" w:cs="仿宋"/>
          <w:sz w:val="24"/>
          <w:szCs w:val="24"/>
          <w:highlight w:val="none"/>
        </w:rPr>
      </w:pPr>
      <w:r>
        <w:rPr>
          <w:rFonts w:hint="eastAsia" w:ascii="仿宋" w:hAnsi="仿宋" w:eastAsia="仿宋" w:cs="仿宋"/>
          <w:sz w:val="24"/>
          <w:szCs w:val="24"/>
          <w:highlight w:val="none"/>
        </w:rPr>
        <w:t>被委托授权人身份证号：</w:t>
      </w:r>
    </w:p>
    <w:p>
      <w:pPr>
        <w:spacing w:line="420" w:lineRule="exact"/>
        <w:ind w:firstLine="972" w:firstLineChars="405"/>
        <w:jc w:val="both"/>
        <w:rPr>
          <w:rFonts w:ascii="仿宋" w:hAnsi="仿宋" w:eastAsia="仿宋" w:cs="仿宋"/>
          <w:sz w:val="24"/>
          <w:szCs w:val="24"/>
          <w:highlight w:val="none"/>
        </w:rPr>
      </w:pPr>
      <w:r>
        <w:rPr>
          <w:rFonts w:hint="eastAsia" w:ascii="仿宋" w:hAnsi="仿宋" w:eastAsia="仿宋" w:cs="仿宋"/>
          <w:sz w:val="24"/>
          <w:szCs w:val="24"/>
          <w:highlight w:val="none"/>
        </w:rPr>
        <w:t>法定代表人签字：</w:t>
      </w:r>
    </w:p>
    <w:p>
      <w:pPr>
        <w:spacing w:line="420" w:lineRule="exact"/>
        <w:ind w:firstLine="972" w:firstLineChars="405"/>
        <w:jc w:val="both"/>
        <w:rPr>
          <w:rFonts w:ascii="仿宋" w:hAnsi="仿宋" w:eastAsia="仿宋" w:cs="仿宋"/>
          <w:sz w:val="24"/>
          <w:szCs w:val="24"/>
          <w:highlight w:val="none"/>
        </w:rPr>
      </w:pPr>
      <w:r>
        <w:rPr>
          <w:rFonts w:hint="eastAsia" w:ascii="仿宋" w:hAnsi="仿宋" w:eastAsia="仿宋" w:cs="仿宋"/>
          <w:sz w:val="24"/>
          <w:szCs w:val="24"/>
          <w:highlight w:val="none"/>
        </w:rPr>
        <w:t>被委托授权人签字：</w:t>
      </w:r>
    </w:p>
    <w:p>
      <w:pPr>
        <w:spacing w:line="420" w:lineRule="exact"/>
        <w:ind w:firstLine="484" w:firstLineChars="202"/>
        <w:jc w:val="both"/>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询价</w:t>
      </w:r>
      <w:r>
        <w:rPr>
          <w:rFonts w:hint="eastAsia" w:ascii="仿宋" w:hAnsi="仿宋" w:eastAsia="仿宋" w:cs="仿宋"/>
          <w:sz w:val="24"/>
          <w:szCs w:val="24"/>
          <w:highlight w:val="none"/>
        </w:rPr>
        <w:t>供应商（盖章）</w:t>
      </w:r>
    </w:p>
    <w:p>
      <w:pPr>
        <w:spacing w:line="420" w:lineRule="exact"/>
        <w:ind w:firstLine="484" w:firstLineChars="202"/>
        <w:jc w:val="both"/>
        <w:rPr>
          <w:rFonts w:ascii="仿宋" w:hAnsi="仿宋" w:eastAsia="仿宋" w:cs="仿宋"/>
          <w:bCs/>
          <w:sz w:val="24"/>
          <w:szCs w:val="24"/>
          <w:highlight w:val="none"/>
        </w:rPr>
      </w:pPr>
      <w:r>
        <w:rPr>
          <w:rFonts w:hint="eastAsia" w:ascii="仿宋" w:hAnsi="仿宋" w:eastAsia="仿宋" w:cs="仿宋"/>
          <w:bCs/>
          <w:sz w:val="24"/>
          <w:szCs w:val="24"/>
          <w:highlight w:val="none"/>
        </w:rPr>
        <w:t>年    月    日</w:t>
      </w:r>
    </w:p>
    <w:p>
      <w:pPr>
        <w:spacing w:line="420" w:lineRule="exact"/>
        <w:ind w:firstLine="321" w:firstLineChars="134"/>
        <w:jc w:val="both"/>
        <w:rPr>
          <w:rFonts w:ascii="仿宋" w:hAnsi="仿宋" w:eastAsia="仿宋" w:cs="仿宋"/>
          <w:sz w:val="24"/>
          <w:szCs w:val="24"/>
          <w:highlight w:val="none"/>
        </w:rPr>
      </w:pPr>
      <w:r>
        <w:rPr>
          <w:rFonts w:hint="eastAsia" w:ascii="仿宋" w:hAnsi="仿宋" w:eastAsia="仿宋" w:cs="仿宋"/>
          <w:sz w:val="24"/>
          <w:szCs w:val="24"/>
          <w:highlight w:val="none"/>
        </w:rPr>
        <w:t>注：提供被委托授权人的身份证复印件盖公章，将身份证原件带至开标现场备查</w:t>
      </w:r>
    </w:p>
    <w:p>
      <w:pPr>
        <w:kinsoku w:val="0"/>
        <w:topLinePunct/>
        <w:autoSpaceDE w:val="0"/>
        <w:autoSpaceDN w:val="0"/>
        <w:spacing w:line="500" w:lineRule="atLeast"/>
        <w:ind w:right="210" w:firstLine="451" w:firstLineChars="187"/>
        <w:jc w:val="center"/>
        <w:textAlignment w:val="baseline"/>
        <w:rPr>
          <w:rFonts w:ascii="仿宋" w:hAnsi="仿宋" w:eastAsia="仿宋" w:cs="仿宋"/>
          <w:b/>
          <w:bCs/>
          <w:sz w:val="24"/>
          <w:szCs w:val="24"/>
          <w:highlight w:val="none"/>
        </w:rPr>
      </w:pPr>
    </w:p>
    <w:p>
      <w:pPr>
        <w:spacing w:line="400" w:lineRule="exact"/>
        <w:rPr>
          <w:rFonts w:ascii="仿宋" w:hAnsi="仿宋" w:eastAsia="仿宋" w:cs="仿宋"/>
          <w:b/>
          <w:bCs/>
          <w:sz w:val="24"/>
          <w:szCs w:val="24"/>
          <w:highlight w:val="none"/>
        </w:rPr>
      </w:pPr>
    </w:p>
    <w:p>
      <w:pPr>
        <w:pStyle w:val="5"/>
        <w:rPr>
          <w:rFonts w:ascii="仿宋" w:hAnsi="仿宋" w:eastAsia="仿宋" w:cs="仿宋"/>
          <w:b/>
          <w:bCs/>
          <w:sz w:val="24"/>
          <w:szCs w:val="24"/>
          <w:highlight w:val="none"/>
        </w:rPr>
      </w:pPr>
    </w:p>
    <w:p>
      <w:pPr>
        <w:rPr>
          <w:rFonts w:ascii="仿宋" w:hAnsi="仿宋" w:eastAsia="仿宋" w:cs="仿宋"/>
          <w:b/>
          <w:bCs/>
          <w:sz w:val="24"/>
          <w:szCs w:val="24"/>
          <w:highlight w:val="none"/>
        </w:rPr>
      </w:pPr>
    </w:p>
    <w:p>
      <w:pPr>
        <w:spacing w:line="400" w:lineRule="exact"/>
        <w:rPr>
          <w:rFonts w:ascii="仿宋" w:hAnsi="仿宋" w:eastAsia="仿宋" w:cs="仿宋"/>
          <w:b/>
          <w:bCs/>
          <w:sz w:val="24"/>
          <w:szCs w:val="24"/>
          <w:highlight w:val="none"/>
        </w:rPr>
      </w:pPr>
    </w:p>
    <w:p>
      <w:pPr>
        <w:pStyle w:val="5"/>
        <w:rPr>
          <w:rFonts w:ascii="仿宋" w:hAnsi="仿宋" w:eastAsia="仿宋" w:cs="仿宋"/>
          <w:b/>
          <w:bCs/>
          <w:sz w:val="24"/>
          <w:szCs w:val="24"/>
          <w:highlight w:val="none"/>
        </w:rPr>
      </w:pPr>
    </w:p>
    <w:p>
      <w:pPr>
        <w:rPr>
          <w:rFonts w:ascii="仿宋" w:hAnsi="仿宋" w:eastAsia="仿宋" w:cs="仿宋"/>
          <w:b/>
          <w:bCs/>
          <w:sz w:val="24"/>
          <w:szCs w:val="24"/>
          <w:highlight w:val="none"/>
        </w:rPr>
      </w:pPr>
    </w:p>
    <w:p>
      <w:pPr>
        <w:spacing w:line="400" w:lineRule="exact"/>
        <w:rPr>
          <w:rFonts w:ascii="仿宋" w:hAnsi="仿宋" w:eastAsia="仿宋" w:cs="仿宋"/>
          <w:b/>
          <w:bCs/>
          <w:sz w:val="24"/>
          <w:szCs w:val="24"/>
          <w:highlight w:val="none"/>
        </w:rPr>
      </w:pPr>
    </w:p>
    <w:p>
      <w:pPr>
        <w:pStyle w:val="5"/>
        <w:rPr>
          <w:rFonts w:ascii="仿宋" w:hAnsi="仿宋" w:eastAsia="仿宋" w:cs="仿宋"/>
          <w:b/>
          <w:bCs/>
          <w:sz w:val="24"/>
          <w:szCs w:val="24"/>
          <w:highlight w:val="none"/>
        </w:rPr>
      </w:pPr>
    </w:p>
    <w:p>
      <w:pPr>
        <w:pStyle w:val="2"/>
        <w:rPr>
          <w:rFonts w:ascii="仿宋" w:hAnsi="仿宋" w:eastAsia="仿宋" w:cs="仿宋"/>
          <w:b/>
          <w:bCs/>
          <w:color w:val="auto"/>
          <w:highlight w:val="none"/>
        </w:rPr>
      </w:pPr>
    </w:p>
    <w:p>
      <w:pPr>
        <w:kinsoku w:val="0"/>
        <w:topLinePunct/>
        <w:autoSpaceDE w:val="0"/>
        <w:autoSpaceDN w:val="0"/>
        <w:spacing w:line="500" w:lineRule="atLeast"/>
        <w:ind w:right="210" w:firstLine="451" w:firstLineChars="187"/>
        <w:jc w:val="center"/>
        <w:textAlignment w:val="baseline"/>
        <w:rPr>
          <w:rFonts w:ascii="仿宋" w:hAnsi="仿宋" w:eastAsia="仿宋" w:cs="仿宋"/>
          <w:b/>
          <w:bCs/>
          <w:sz w:val="24"/>
          <w:szCs w:val="24"/>
          <w:highlight w:val="none"/>
        </w:rPr>
      </w:pPr>
      <w:r>
        <w:rPr>
          <w:rFonts w:hint="eastAsia" w:ascii="仿宋" w:hAnsi="仿宋" w:eastAsia="仿宋" w:cs="仿宋"/>
          <w:b/>
          <w:bCs/>
          <w:sz w:val="24"/>
          <w:szCs w:val="24"/>
          <w:highlight w:val="none"/>
        </w:rPr>
        <w:t>3.符合政府采购法二十二条的书面声明</w:t>
      </w:r>
    </w:p>
    <w:p>
      <w:pPr>
        <w:spacing w:line="360" w:lineRule="auto"/>
        <w:ind w:firstLine="480" w:firstLineChars="200"/>
        <w:jc w:val="both"/>
        <w:rPr>
          <w:rFonts w:ascii="仿宋" w:hAnsi="仿宋" w:eastAsia="仿宋" w:cs="仿宋"/>
          <w:sz w:val="24"/>
          <w:szCs w:val="24"/>
          <w:highlight w:val="none"/>
        </w:rPr>
      </w:pPr>
    </w:p>
    <w:p>
      <w:pPr>
        <w:kinsoku w:val="0"/>
        <w:topLinePunct/>
        <w:autoSpaceDE w:val="0"/>
        <w:autoSpaceDN w:val="0"/>
        <w:spacing w:line="500" w:lineRule="atLeast"/>
        <w:ind w:right="210"/>
        <w:jc w:val="both"/>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南通工贸技师学院：</w:t>
      </w:r>
    </w:p>
    <w:p>
      <w:pPr>
        <w:kinsoku w:val="0"/>
        <w:topLinePunct/>
        <w:autoSpaceDE w:val="0"/>
        <w:autoSpaceDN w:val="0"/>
        <w:spacing w:line="500" w:lineRule="atLeast"/>
        <w:ind w:right="210" w:firstLine="448" w:firstLineChars="187"/>
        <w:jc w:val="both"/>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我单位</w:t>
      </w:r>
      <w:r>
        <w:rPr>
          <w:rFonts w:hint="eastAsia" w:ascii="仿宋" w:hAnsi="仿宋" w:eastAsia="仿宋" w:cs="仿宋"/>
          <w:sz w:val="24"/>
          <w:szCs w:val="24"/>
          <w:highlight w:val="none"/>
          <w:u w:val="single"/>
        </w:rPr>
        <w:t xml:space="preserve">           （供应商名称）</w:t>
      </w:r>
      <w:r>
        <w:rPr>
          <w:rFonts w:hint="eastAsia" w:ascii="仿宋" w:hAnsi="仿宋" w:eastAsia="仿宋" w:cs="仿宋"/>
          <w:sz w:val="24"/>
          <w:szCs w:val="24"/>
          <w:highlight w:val="none"/>
        </w:rPr>
        <w:t>郑重承诺：</w:t>
      </w:r>
    </w:p>
    <w:p>
      <w:pPr>
        <w:kinsoku w:val="0"/>
        <w:topLinePunct/>
        <w:autoSpaceDE w:val="0"/>
        <w:autoSpaceDN w:val="0"/>
        <w:spacing w:line="500" w:lineRule="atLeast"/>
        <w:ind w:right="210" w:firstLine="448" w:firstLineChars="187"/>
        <w:jc w:val="both"/>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kinsoku w:val="0"/>
        <w:topLinePunct/>
        <w:autoSpaceDE w:val="0"/>
        <w:autoSpaceDN w:val="0"/>
        <w:spacing w:line="500" w:lineRule="atLeast"/>
        <w:ind w:right="210" w:firstLine="448" w:firstLineChars="187"/>
        <w:jc w:val="both"/>
        <w:textAlignment w:val="baseline"/>
        <w:rPr>
          <w:rFonts w:ascii="仿宋" w:hAnsi="仿宋" w:eastAsia="仿宋" w:cs="仿宋"/>
          <w:sz w:val="24"/>
          <w:szCs w:val="24"/>
          <w:highlight w:val="none"/>
        </w:rPr>
      </w:pPr>
    </w:p>
    <w:p>
      <w:pPr>
        <w:kinsoku w:val="0"/>
        <w:topLinePunct/>
        <w:autoSpaceDE w:val="0"/>
        <w:autoSpaceDN w:val="0"/>
        <w:spacing w:line="500" w:lineRule="atLeast"/>
        <w:ind w:right="210" w:firstLine="448" w:firstLineChars="187"/>
        <w:jc w:val="both"/>
        <w:textAlignment w:val="baseline"/>
        <w:rPr>
          <w:rFonts w:ascii="仿宋" w:hAnsi="仿宋" w:eastAsia="仿宋" w:cs="仿宋"/>
          <w:sz w:val="24"/>
          <w:szCs w:val="24"/>
          <w:highlight w:val="none"/>
        </w:rPr>
      </w:pPr>
    </w:p>
    <w:p>
      <w:pPr>
        <w:kinsoku w:val="0"/>
        <w:topLinePunct/>
        <w:autoSpaceDE w:val="0"/>
        <w:autoSpaceDN w:val="0"/>
        <w:spacing w:line="500" w:lineRule="atLeast"/>
        <w:ind w:right="210" w:firstLine="448" w:firstLineChars="187"/>
        <w:jc w:val="both"/>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 xml:space="preserve">供应商（盖章）：（单位全称） </w:t>
      </w:r>
    </w:p>
    <w:p>
      <w:pPr>
        <w:kinsoku w:val="0"/>
        <w:topLinePunct/>
        <w:autoSpaceDE w:val="0"/>
        <w:autoSpaceDN w:val="0"/>
        <w:spacing w:line="500" w:lineRule="atLeast"/>
        <w:ind w:right="210" w:firstLine="448" w:firstLineChars="187"/>
        <w:jc w:val="both"/>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法定代表人或授权委托人：（签字或盖章）</w:t>
      </w:r>
    </w:p>
    <w:p>
      <w:pPr>
        <w:kinsoku w:val="0"/>
        <w:topLinePunct/>
        <w:autoSpaceDE w:val="0"/>
        <w:autoSpaceDN w:val="0"/>
        <w:spacing w:line="500" w:lineRule="atLeast"/>
        <w:ind w:right="210" w:firstLine="448" w:firstLineChars="187"/>
        <w:jc w:val="both"/>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pPr>
        <w:ind w:firstLine="480" w:firstLineChars="200"/>
        <w:jc w:val="both"/>
        <w:textAlignment w:val="baseline"/>
        <w:rPr>
          <w:rFonts w:ascii="仿宋" w:hAnsi="仿宋" w:eastAsia="仿宋" w:cs="仿宋"/>
          <w:kern w:val="2"/>
          <w:sz w:val="24"/>
          <w:highlight w:val="none"/>
        </w:rPr>
      </w:pPr>
    </w:p>
    <w:p>
      <w:pPr>
        <w:ind w:firstLine="480" w:firstLineChars="200"/>
        <w:jc w:val="both"/>
        <w:textAlignment w:val="baseline"/>
        <w:rPr>
          <w:rFonts w:ascii="仿宋" w:hAnsi="仿宋" w:eastAsia="仿宋" w:cs="仿宋"/>
          <w:kern w:val="2"/>
          <w:sz w:val="24"/>
          <w:highlight w:val="none"/>
        </w:rPr>
      </w:pPr>
    </w:p>
    <w:p>
      <w:pPr>
        <w:ind w:firstLine="480" w:firstLineChars="200"/>
        <w:jc w:val="both"/>
        <w:textAlignment w:val="baseline"/>
        <w:rPr>
          <w:rFonts w:ascii="仿宋" w:hAnsi="仿宋" w:eastAsia="仿宋" w:cs="仿宋"/>
          <w:kern w:val="2"/>
          <w:sz w:val="24"/>
          <w:highlight w:val="none"/>
        </w:rPr>
      </w:pPr>
    </w:p>
    <w:p>
      <w:pPr>
        <w:ind w:firstLine="480" w:firstLineChars="200"/>
        <w:jc w:val="both"/>
        <w:textAlignment w:val="baseline"/>
        <w:rPr>
          <w:rFonts w:ascii="仿宋" w:hAnsi="仿宋" w:eastAsia="仿宋" w:cs="仿宋"/>
          <w:kern w:val="2"/>
          <w:sz w:val="24"/>
          <w:highlight w:val="none"/>
        </w:rPr>
      </w:pPr>
    </w:p>
    <w:p>
      <w:pPr>
        <w:ind w:firstLine="480" w:firstLineChars="200"/>
        <w:jc w:val="both"/>
        <w:textAlignment w:val="baseline"/>
        <w:rPr>
          <w:rFonts w:ascii="仿宋" w:hAnsi="仿宋" w:eastAsia="仿宋" w:cs="仿宋"/>
          <w:kern w:val="2"/>
          <w:sz w:val="24"/>
          <w:highlight w:val="none"/>
        </w:rPr>
      </w:pPr>
    </w:p>
    <w:p>
      <w:pPr>
        <w:ind w:firstLine="480" w:firstLineChars="200"/>
        <w:jc w:val="both"/>
        <w:textAlignment w:val="baseline"/>
        <w:rPr>
          <w:rFonts w:ascii="仿宋" w:hAnsi="仿宋" w:eastAsia="仿宋" w:cs="仿宋"/>
          <w:kern w:val="2"/>
          <w:sz w:val="24"/>
          <w:highlight w:val="none"/>
        </w:rPr>
      </w:pPr>
    </w:p>
    <w:p>
      <w:pPr>
        <w:ind w:firstLine="480" w:firstLineChars="200"/>
        <w:jc w:val="both"/>
        <w:textAlignment w:val="baseline"/>
        <w:rPr>
          <w:rFonts w:ascii="仿宋" w:hAnsi="仿宋" w:eastAsia="仿宋" w:cs="仿宋"/>
          <w:kern w:val="2"/>
          <w:sz w:val="24"/>
          <w:highlight w:val="none"/>
        </w:rPr>
      </w:pPr>
    </w:p>
    <w:p>
      <w:pPr>
        <w:ind w:firstLine="480" w:firstLineChars="200"/>
        <w:jc w:val="both"/>
        <w:textAlignment w:val="baseline"/>
        <w:rPr>
          <w:rFonts w:ascii="仿宋" w:hAnsi="仿宋" w:eastAsia="仿宋" w:cs="仿宋"/>
          <w:kern w:val="2"/>
          <w:sz w:val="24"/>
          <w:highlight w:val="none"/>
        </w:rPr>
      </w:pPr>
    </w:p>
    <w:p>
      <w:pPr>
        <w:ind w:firstLine="480" w:firstLineChars="200"/>
        <w:jc w:val="both"/>
        <w:textAlignment w:val="baseline"/>
        <w:rPr>
          <w:rFonts w:ascii="仿宋" w:hAnsi="仿宋" w:eastAsia="仿宋" w:cs="仿宋"/>
          <w:kern w:val="2"/>
          <w:sz w:val="24"/>
          <w:highlight w:val="none"/>
        </w:rPr>
      </w:pPr>
    </w:p>
    <w:p>
      <w:pPr>
        <w:pStyle w:val="2"/>
        <w:rPr>
          <w:highlight w:val="none"/>
        </w:rPr>
      </w:pPr>
    </w:p>
    <w:p>
      <w:pPr>
        <w:ind w:firstLine="480" w:firstLineChars="200"/>
        <w:jc w:val="both"/>
        <w:textAlignment w:val="baseline"/>
        <w:rPr>
          <w:rFonts w:ascii="仿宋" w:hAnsi="仿宋" w:eastAsia="仿宋" w:cs="仿宋"/>
          <w:kern w:val="2"/>
          <w:sz w:val="24"/>
          <w:highlight w:val="none"/>
        </w:rPr>
      </w:pPr>
    </w:p>
    <w:p>
      <w:pPr>
        <w:spacing w:line="360" w:lineRule="auto"/>
        <w:jc w:val="center"/>
        <w:outlineLvl w:val="4"/>
        <w:rPr>
          <w:rFonts w:ascii="仿宋" w:hAnsi="仿宋" w:eastAsia="仿宋" w:cs="仿宋"/>
          <w:b/>
          <w:bCs/>
          <w:sz w:val="24"/>
          <w:szCs w:val="24"/>
          <w:highlight w:val="none"/>
        </w:rPr>
      </w:pPr>
      <w:r>
        <w:rPr>
          <w:rFonts w:hint="eastAsia" w:ascii="仿宋" w:hAnsi="仿宋" w:eastAsia="仿宋" w:cs="仿宋"/>
          <w:b/>
          <w:bCs/>
          <w:sz w:val="24"/>
          <w:szCs w:val="24"/>
          <w:highlight w:val="none"/>
        </w:rPr>
        <w:t>4、无重大违法记录声明</w:t>
      </w:r>
    </w:p>
    <w:p>
      <w:pPr>
        <w:spacing w:line="36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南通工贸技师学院：</w:t>
      </w:r>
    </w:p>
    <w:p>
      <w:pPr>
        <w:spacing w:line="36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    我单位（投标人名称）郑重声明：</w:t>
      </w:r>
    </w:p>
    <w:p>
      <w:pPr>
        <w:spacing w:line="36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    参加政府采购活动前3年内在经营活动中</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（在下划线上如实填写：有或没有）重大违法记录。</w:t>
      </w:r>
    </w:p>
    <w:p>
      <w:pPr>
        <w:spacing w:line="360" w:lineRule="auto"/>
        <w:ind w:firstLine="480"/>
        <w:jc w:val="both"/>
        <w:rPr>
          <w:rFonts w:ascii="仿宋" w:hAnsi="仿宋" w:eastAsia="仿宋" w:cs="仿宋"/>
          <w:sz w:val="24"/>
          <w:szCs w:val="24"/>
          <w:highlight w:val="none"/>
        </w:rPr>
      </w:pPr>
      <w:r>
        <w:rPr>
          <w:rFonts w:hint="eastAsia" w:ascii="仿宋" w:hAnsi="仿宋" w:eastAsia="仿宋" w:cs="仿宋"/>
          <w:sz w:val="24"/>
          <w:szCs w:val="24"/>
          <w:highlight w:val="none"/>
        </w:rPr>
        <w:t>在投标截止时间节点，没有被“信用中国”（www.creditchina.gov.cn）、“中国政府采购网”（www.ccgp.gov.cn）、“信用江苏”（www.jscredit.cn/index.htm）网站列入失信被执行人、重大税收违法案件当事人名单、政府采购严重违法失信行为记录名单。</w:t>
      </w:r>
    </w:p>
    <w:p>
      <w:pPr>
        <w:spacing w:line="360" w:lineRule="auto"/>
        <w:ind w:firstLine="480"/>
        <w:jc w:val="both"/>
        <w:rPr>
          <w:rFonts w:ascii="仿宋" w:hAnsi="仿宋" w:eastAsia="仿宋" w:cs="仿宋"/>
          <w:sz w:val="24"/>
          <w:szCs w:val="24"/>
          <w:highlight w:val="none"/>
        </w:rPr>
      </w:pPr>
    </w:p>
    <w:p>
      <w:pPr>
        <w:spacing w:line="360" w:lineRule="auto"/>
        <w:ind w:firstLine="480"/>
        <w:jc w:val="both"/>
        <w:rPr>
          <w:rFonts w:ascii="仿宋" w:hAnsi="仿宋" w:eastAsia="仿宋" w:cs="仿宋"/>
          <w:sz w:val="24"/>
          <w:szCs w:val="24"/>
          <w:highlight w:val="none"/>
        </w:rPr>
      </w:pPr>
      <w:r>
        <w:rPr>
          <w:rFonts w:hint="eastAsia" w:ascii="仿宋" w:hAnsi="仿宋" w:eastAsia="仿宋" w:cs="仿宋"/>
          <w:sz w:val="24"/>
          <w:szCs w:val="24"/>
          <w:highlight w:val="none"/>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480" w:firstLineChars="200"/>
        <w:jc w:val="both"/>
        <w:rPr>
          <w:rFonts w:ascii="仿宋" w:hAnsi="仿宋" w:eastAsia="仿宋" w:cs="仿宋"/>
          <w:sz w:val="24"/>
          <w:szCs w:val="24"/>
          <w:highlight w:val="none"/>
        </w:rPr>
      </w:pPr>
      <w:r>
        <w:rPr>
          <w:rFonts w:hint="eastAsia" w:ascii="仿宋" w:hAnsi="仿宋" w:eastAsia="仿宋" w:cs="仿宋"/>
          <w:sz w:val="24"/>
          <w:szCs w:val="24"/>
          <w:highlight w:val="none"/>
        </w:rPr>
        <w:t>投标人：（加盖公章）</w:t>
      </w:r>
    </w:p>
    <w:p>
      <w:pPr>
        <w:spacing w:line="360" w:lineRule="auto"/>
        <w:ind w:firstLine="480" w:firstLineChars="200"/>
        <w:jc w:val="both"/>
        <w:rPr>
          <w:rFonts w:ascii="仿宋" w:hAnsi="仿宋" w:eastAsia="仿宋" w:cs="仿宋"/>
          <w:sz w:val="24"/>
          <w:szCs w:val="24"/>
          <w:highlight w:val="none"/>
        </w:rPr>
      </w:pPr>
      <w:r>
        <w:rPr>
          <w:rFonts w:hint="eastAsia" w:ascii="仿宋" w:hAnsi="仿宋" w:eastAsia="仿宋" w:cs="仿宋"/>
          <w:sz w:val="24"/>
          <w:szCs w:val="24"/>
          <w:highlight w:val="none"/>
        </w:rPr>
        <w:t>法定代表人或被授权人：（签字或盖章）</w:t>
      </w:r>
    </w:p>
    <w:p>
      <w:pPr>
        <w:spacing w:line="360" w:lineRule="auto"/>
        <w:ind w:firstLine="1320" w:firstLineChars="550"/>
        <w:jc w:val="both"/>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rFonts w:ascii="仿宋" w:hAnsi="仿宋" w:eastAsia="仿宋" w:cs="仿宋"/>
          <w:highlight w:val="none"/>
        </w:rPr>
      </w:pPr>
    </w:p>
    <w:p>
      <w:pPr>
        <w:pStyle w:val="2"/>
        <w:rPr>
          <w:rFonts w:ascii="仿宋" w:hAnsi="仿宋" w:eastAsia="仿宋" w:cs="仿宋"/>
          <w:highlight w:val="none"/>
        </w:rPr>
      </w:pPr>
    </w:p>
    <w:p>
      <w:pPr>
        <w:pStyle w:val="2"/>
        <w:rPr>
          <w:rFonts w:ascii="仿宋" w:hAnsi="仿宋" w:eastAsia="仿宋" w:cs="仿宋"/>
          <w:highlight w:val="none"/>
        </w:rPr>
      </w:pPr>
    </w:p>
    <w:p>
      <w:pPr>
        <w:spacing w:line="360" w:lineRule="auto"/>
        <w:jc w:val="center"/>
        <w:outlineLvl w:val="4"/>
        <w:rPr>
          <w:rFonts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、技术条款响应一览表</w:t>
      </w:r>
    </w:p>
    <w:p>
      <w:pPr>
        <w:spacing w:line="300" w:lineRule="auto"/>
        <w:rPr>
          <w:rFonts w:eastAsia="仿宋"/>
          <w:sz w:val="24"/>
          <w:highlight w:val="none"/>
        </w:rPr>
      </w:pPr>
      <w:r>
        <w:rPr>
          <w:rFonts w:eastAsia="仿宋"/>
          <w:sz w:val="24"/>
          <w:highlight w:val="none"/>
        </w:rPr>
        <w:t>投标供应商必须响应招标文件中针对招标货物提出的全部技术规格与要求。</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416"/>
        <w:gridCol w:w="1701"/>
        <w:gridCol w:w="2268"/>
        <w:gridCol w:w="1363"/>
        <w:gridCol w:w="8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743" w:type="dxa"/>
            <w:tcBorders>
              <w:top w:val="single" w:color="auto" w:sz="12" w:space="0"/>
              <w:left w:val="single" w:color="auto" w:sz="12" w:space="0"/>
              <w:bottom w:val="single" w:color="auto" w:sz="4" w:space="0"/>
              <w:right w:val="single" w:color="auto" w:sz="4" w:space="0"/>
            </w:tcBorders>
            <w:vAlign w:val="center"/>
          </w:tcPr>
          <w:p>
            <w:pPr>
              <w:spacing w:line="300" w:lineRule="auto"/>
              <w:jc w:val="center"/>
              <w:rPr>
                <w:rFonts w:eastAsia="仿宋"/>
                <w:sz w:val="24"/>
                <w:highlight w:val="none"/>
              </w:rPr>
            </w:pPr>
            <w:r>
              <w:rPr>
                <w:rFonts w:eastAsia="仿宋"/>
                <w:sz w:val="24"/>
                <w:highlight w:val="none"/>
              </w:rPr>
              <w:t>序号</w:t>
            </w:r>
          </w:p>
        </w:tc>
        <w:tc>
          <w:tcPr>
            <w:tcW w:w="1243" w:type="dxa"/>
            <w:tcBorders>
              <w:top w:val="single" w:color="auto" w:sz="12"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r>
              <w:rPr>
                <w:rFonts w:eastAsia="仿宋"/>
                <w:sz w:val="24"/>
                <w:highlight w:val="none"/>
              </w:rPr>
              <w:t>货物名称</w:t>
            </w:r>
          </w:p>
        </w:tc>
        <w:tc>
          <w:tcPr>
            <w:tcW w:w="1416" w:type="dxa"/>
            <w:tcBorders>
              <w:top w:val="single" w:color="auto" w:sz="12"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r>
              <w:rPr>
                <w:rFonts w:eastAsia="仿宋"/>
                <w:sz w:val="24"/>
                <w:highlight w:val="none"/>
              </w:rPr>
              <w:t>所投品牌型号</w:t>
            </w:r>
          </w:p>
        </w:tc>
        <w:tc>
          <w:tcPr>
            <w:tcW w:w="1701" w:type="dxa"/>
            <w:tcBorders>
              <w:top w:val="single" w:color="auto" w:sz="12"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r>
              <w:rPr>
                <w:rFonts w:eastAsia="仿宋"/>
                <w:sz w:val="24"/>
                <w:highlight w:val="none"/>
              </w:rPr>
              <w:t>招标文件</w:t>
            </w:r>
          </w:p>
          <w:p>
            <w:pPr>
              <w:spacing w:line="300" w:lineRule="auto"/>
              <w:jc w:val="center"/>
              <w:rPr>
                <w:rFonts w:eastAsia="仿宋"/>
                <w:sz w:val="24"/>
                <w:highlight w:val="none"/>
              </w:rPr>
            </w:pPr>
            <w:r>
              <w:rPr>
                <w:rFonts w:eastAsia="仿宋"/>
                <w:sz w:val="24"/>
                <w:highlight w:val="none"/>
              </w:rPr>
              <w:t>技术要求</w:t>
            </w:r>
          </w:p>
        </w:tc>
        <w:tc>
          <w:tcPr>
            <w:tcW w:w="2268" w:type="dxa"/>
            <w:tcBorders>
              <w:top w:val="single" w:color="auto" w:sz="12"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r>
              <w:rPr>
                <w:rFonts w:eastAsia="仿宋"/>
                <w:sz w:val="24"/>
                <w:highlight w:val="none"/>
              </w:rPr>
              <w:t>所投产品</w:t>
            </w:r>
          </w:p>
          <w:p>
            <w:pPr>
              <w:spacing w:line="300" w:lineRule="auto"/>
              <w:jc w:val="center"/>
              <w:rPr>
                <w:rFonts w:eastAsia="仿宋"/>
                <w:sz w:val="24"/>
                <w:highlight w:val="none"/>
              </w:rPr>
            </w:pPr>
            <w:r>
              <w:rPr>
                <w:rFonts w:eastAsia="仿宋"/>
                <w:sz w:val="24"/>
                <w:highlight w:val="none"/>
              </w:rPr>
              <w:t>技术响应</w:t>
            </w:r>
          </w:p>
        </w:tc>
        <w:tc>
          <w:tcPr>
            <w:tcW w:w="1363" w:type="dxa"/>
            <w:tcBorders>
              <w:top w:val="single" w:color="auto" w:sz="12"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r>
              <w:rPr>
                <w:rFonts w:eastAsia="仿宋"/>
                <w:sz w:val="24"/>
                <w:highlight w:val="none"/>
              </w:rPr>
              <w:t>偏离/响应</w:t>
            </w:r>
          </w:p>
        </w:tc>
        <w:tc>
          <w:tcPr>
            <w:tcW w:w="809" w:type="dxa"/>
            <w:tcBorders>
              <w:top w:val="single" w:color="auto" w:sz="12" w:space="0"/>
              <w:left w:val="single" w:color="auto" w:sz="4" w:space="0"/>
              <w:bottom w:val="single" w:color="auto" w:sz="4" w:space="0"/>
              <w:right w:val="single" w:color="auto" w:sz="12" w:space="0"/>
            </w:tcBorders>
            <w:vAlign w:val="center"/>
          </w:tcPr>
          <w:p>
            <w:pPr>
              <w:spacing w:line="300" w:lineRule="auto"/>
              <w:jc w:val="center"/>
              <w:rPr>
                <w:rFonts w:eastAsia="仿宋"/>
                <w:sz w:val="24"/>
                <w:highlight w:val="none"/>
              </w:rPr>
            </w:pPr>
            <w:r>
              <w:rPr>
                <w:rFonts w:eastAsia="仿宋"/>
                <w:sz w:val="24"/>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12" w:space="0"/>
              <w:bottom w:val="single" w:color="auto" w:sz="4" w:space="0"/>
              <w:right w:val="single" w:color="auto" w:sz="4" w:space="0"/>
            </w:tcBorders>
          </w:tcPr>
          <w:p>
            <w:pPr>
              <w:spacing w:line="300" w:lineRule="auto"/>
              <w:jc w:val="center"/>
              <w:rPr>
                <w:rFonts w:eastAsia="仿宋"/>
                <w:sz w:val="24"/>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809" w:type="dxa"/>
            <w:tcBorders>
              <w:top w:val="single" w:color="auto" w:sz="4" w:space="0"/>
              <w:left w:val="single" w:color="auto" w:sz="4" w:space="0"/>
              <w:bottom w:val="single" w:color="auto" w:sz="4" w:space="0"/>
              <w:right w:val="single" w:color="auto" w:sz="12" w:space="0"/>
            </w:tcBorders>
            <w:vAlign w:val="center"/>
          </w:tcPr>
          <w:p>
            <w:pPr>
              <w:spacing w:line="300" w:lineRule="auto"/>
              <w:jc w:val="center"/>
              <w:rPr>
                <w:rFonts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12" w:space="0"/>
              <w:bottom w:val="single" w:color="auto" w:sz="4" w:space="0"/>
              <w:right w:val="single" w:color="auto" w:sz="4" w:space="0"/>
            </w:tcBorders>
          </w:tcPr>
          <w:p>
            <w:pPr>
              <w:spacing w:line="300" w:lineRule="auto"/>
              <w:jc w:val="center"/>
              <w:rPr>
                <w:rFonts w:eastAsia="仿宋"/>
                <w:sz w:val="24"/>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809" w:type="dxa"/>
            <w:tcBorders>
              <w:top w:val="single" w:color="auto" w:sz="4" w:space="0"/>
              <w:left w:val="single" w:color="auto" w:sz="4" w:space="0"/>
              <w:bottom w:val="single" w:color="auto" w:sz="4" w:space="0"/>
              <w:right w:val="single" w:color="auto" w:sz="12" w:space="0"/>
            </w:tcBorders>
            <w:vAlign w:val="center"/>
          </w:tcPr>
          <w:p>
            <w:pPr>
              <w:spacing w:line="300" w:lineRule="auto"/>
              <w:jc w:val="center"/>
              <w:rPr>
                <w:rFonts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12" w:space="0"/>
              <w:bottom w:val="single" w:color="auto" w:sz="4" w:space="0"/>
              <w:right w:val="single" w:color="auto" w:sz="4" w:space="0"/>
            </w:tcBorders>
          </w:tcPr>
          <w:p>
            <w:pPr>
              <w:spacing w:line="300" w:lineRule="auto"/>
              <w:jc w:val="center"/>
              <w:rPr>
                <w:rFonts w:eastAsia="仿宋"/>
                <w:sz w:val="24"/>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809" w:type="dxa"/>
            <w:tcBorders>
              <w:top w:val="single" w:color="auto" w:sz="4" w:space="0"/>
              <w:left w:val="single" w:color="auto" w:sz="4" w:space="0"/>
              <w:bottom w:val="single" w:color="auto" w:sz="4" w:space="0"/>
              <w:right w:val="single" w:color="auto" w:sz="12" w:space="0"/>
            </w:tcBorders>
            <w:vAlign w:val="center"/>
          </w:tcPr>
          <w:p>
            <w:pPr>
              <w:spacing w:line="300" w:lineRule="auto"/>
              <w:jc w:val="center"/>
              <w:rPr>
                <w:rFonts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12" w:space="0"/>
              <w:bottom w:val="single" w:color="auto" w:sz="4" w:space="0"/>
              <w:right w:val="single" w:color="auto" w:sz="4" w:space="0"/>
            </w:tcBorders>
          </w:tcPr>
          <w:p>
            <w:pPr>
              <w:spacing w:line="300" w:lineRule="auto"/>
              <w:jc w:val="center"/>
              <w:rPr>
                <w:rFonts w:eastAsia="仿宋"/>
                <w:sz w:val="24"/>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809" w:type="dxa"/>
            <w:tcBorders>
              <w:top w:val="single" w:color="auto" w:sz="4" w:space="0"/>
              <w:left w:val="single" w:color="auto" w:sz="4" w:space="0"/>
              <w:bottom w:val="single" w:color="auto" w:sz="4" w:space="0"/>
              <w:right w:val="single" w:color="auto" w:sz="12" w:space="0"/>
            </w:tcBorders>
            <w:vAlign w:val="center"/>
          </w:tcPr>
          <w:p>
            <w:pPr>
              <w:spacing w:line="300" w:lineRule="auto"/>
              <w:jc w:val="center"/>
              <w:rPr>
                <w:rFonts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12" w:space="0"/>
              <w:bottom w:val="single" w:color="auto" w:sz="4" w:space="0"/>
              <w:right w:val="single" w:color="auto" w:sz="4" w:space="0"/>
            </w:tcBorders>
          </w:tcPr>
          <w:p>
            <w:pPr>
              <w:spacing w:line="300" w:lineRule="auto"/>
              <w:jc w:val="center"/>
              <w:rPr>
                <w:rFonts w:eastAsia="仿宋"/>
                <w:sz w:val="24"/>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809" w:type="dxa"/>
            <w:tcBorders>
              <w:top w:val="single" w:color="auto" w:sz="4" w:space="0"/>
              <w:left w:val="single" w:color="auto" w:sz="4" w:space="0"/>
              <w:bottom w:val="single" w:color="auto" w:sz="4" w:space="0"/>
              <w:right w:val="single" w:color="auto" w:sz="12" w:space="0"/>
            </w:tcBorders>
            <w:vAlign w:val="center"/>
          </w:tcPr>
          <w:p>
            <w:pPr>
              <w:spacing w:line="300" w:lineRule="auto"/>
              <w:jc w:val="center"/>
              <w:rPr>
                <w:rFonts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12" w:space="0"/>
              <w:bottom w:val="single" w:color="auto" w:sz="4" w:space="0"/>
              <w:right w:val="single" w:color="auto" w:sz="4" w:space="0"/>
            </w:tcBorders>
          </w:tcPr>
          <w:p>
            <w:pPr>
              <w:spacing w:line="300" w:lineRule="auto"/>
              <w:jc w:val="center"/>
              <w:rPr>
                <w:rFonts w:eastAsia="仿宋"/>
                <w:sz w:val="24"/>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809" w:type="dxa"/>
            <w:tcBorders>
              <w:top w:val="single" w:color="auto" w:sz="4" w:space="0"/>
              <w:left w:val="single" w:color="auto" w:sz="4" w:space="0"/>
              <w:bottom w:val="single" w:color="auto" w:sz="4" w:space="0"/>
              <w:right w:val="single" w:color="auto" w:sz="12" w:space="0"/>
            </w:tcBorders>
            <w:vAlign w:val="center"/>
          </w:tcPr>
          <w:p>
            <w:pPr>
              <w:spacing w:line="300" w:lineRule="auto"/>
              <w:jc w:val="center"/>
              <w:rPr>
                <w:rFonts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12" w:space="0"/>
              <w:bottom w:val="single" w:color="auto" w:sz="4" w:space="0"/>
              <w:right w:val="single" w:color="auto" w:sz="4" w:space="0"/>
            </w:tcBorders>
          </w:tcPr>
          <w:p>
            <w:pPr>
              <w:spacing w:line="300" w:lineRule="auto"/>
              <w:jc w:val="center"/>
              <w:rPr>
                <w:rFonts w:eastAsia="仿宋"/>
                <w:sz w:val="24"/>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
                <w:sz w:val="24"/>
                <w:highlight w:val="none"/>
              </w:rPr>
            </w:pPr>
          </w:p>
        </w:tc>
        <w:tc>
          <w:tcPr>
            <w:tcW w:w="809" w:type="dxa"/>
            <w:tcBorders>
              <w:top w:val="single" w:color="auto" w:sz="4" w:space="0"/>
              <w:left w:val="single" w:color="auto" w:sz="4" w:space="0"/>
              <w:bottom w:val="single" w:color="auto" w:sz="4" w:space="0"/>
              <w:right w:val="single" w:color="auto" w:sz="12" w:space="0"/>
            </w:tcBorders>
            <w:vAlign w:val="center"/>
          </w:tcPr>
          <w:p>
            <w:pPr>
              <w:spacing w:line="300" w:lineRule="auto"/>
              <w:jc w:val="center"/>
              <w:rPr>
                <w:rFonts w:eastAsia="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12" w:space="0"/>
              <w:bottom w:val="single" w:color="auto" w:sz="12" w:space="0"/>
              <w:right w:val="single" w:color="auto" w:sz="4" w:space="0"/>
            </w:tcBorders>
          </w:tcPr>
          <w:p>
            <w:pPr>
              <w:spacing w:line="300" w:lineRule="auto"/>
              <w:jc w:val="center"/>
              <w:rPr>
                <w:rFonts w:eastAsia="仿宋"/>
                <w:sz w:val="24"/>
                <w:highlight w:val="none"/>
              </w:rPr>
            </w:pPr>
            <w:r>
              <w:rPr>
                <w:rFonts w:eastAsia="仿宋"/>
                <w:sz w:val="24"/>
                <w:highlight w:val="none"/>
              </w:rPr>
              <w:t>……</w:t>
            </w:r>
          </w:p>
        </w:tc>
        <w:tc>
          <w:tcPr>
            <w:tcW w:w="1243" w:type="dxa"/>
            <w:tcBorders>
              <w:top w:val="single" w:color="auto" w:sz="4" w:space="0"/>
              <w:left w:val="single" w:color="auto" w:sz="4" w:space="0"/>
              <w:bottom w:val="single" w:color="auto" w:sz="12" w:space="0"/>
              <w:right w:val="single" w:color="auto" w:sz="4" w:space="0"/>
            </w:tcBorders>
            <w:vAlign w:val="center"/>
          </w:tcPr>
          <w:p>
            <w:pPr>
              <w:spacing w:line="300" w:lineRule="auto"/>
              <w:jc w:val="center"/>
              <w:rPr>
                <w:rFonts w:eastAsia="仿宋"/>
                <w:sz w:val="24"/>
                <w:highlight w:val="none"/>
              </w:rPr>
            </w:pPr>
          </w:p>
        </w:tc>
        <w:tc>
          <w:tcPr>
            <w:tcW w:w="1416" w:type="dxa"/>
            <w:tcBorders>
              <w:top w:val="single" w:color="auto" w:sz="4" w:space="0"/>
              <w:left w:val="single" w:color="auto" w:sz="4" w:space="0"/>
              <w:bottom w:val="single" w:color="auto" w:sz="12" w:space="0"/>
              <w:right w:val="single" w:color="auto" w:sz="4" w:space="0"/>
            </w:tcBorders>
            <w:vAlign w:val="center"/>
          </w:tcPr>
          <w:p>
            <w:pPr>
              <w:spacing w:line="300" w:lineRule="auto"/>
              <w:jc w:val="center"/>
              <w:rPr>
                <w:rFonts w:eastAsia="仿宋"/>
                <w:sz w:val="24"/>
                <w:highlight w:val="none"/>
              </w:rPr>
            </w:pPr>
          </w:p>
        </w:tc>
        <w:tc>
          <w:tcPr>
            <w:tcW w:w="1701" w:type="dxa"/>
            <w:tcBorders>
              <w:top w:val="single" w:color="auto" w:sz="4" w:space="0"/>
              <w:left w:val="single" w:color="auto" w:sz="4" w:space="0"/>
              <w:bottom w:val="single" w:color="auto" w:sz="12" w:space="0"/>
              <w:right w:val="single" w:color="auto" w:sz="4" w:space="0"/>
            </w:tcBorders>
            <w:vAlign w:val="center"/>
          </w:tcPr>
          <w:p>
            <w:pPr>
              <w:spacing w:line="300" w:lineRule="auto"/>
              <w:jc w:val="center"/>
              <w:rPr>
                <w:rFonts w:eastAsia="仿宋"/>
                <w:sz w:val="24"/>
                <w:highlight w:val="none"/>
              </w:rPr>
            </w:pPr>
          </w:p>
        </w:tc>
        <w:tc>
          <w:tcPr>
            <w:tcW w:w="2268" w:type="dxa"/>
            <w:tcBorders>
              <w:top w:val="single" w:color="auto" w:sz="4" w:space="0"/>
              <w:left w:val="single" w:color="auto" w:sz="4" w:space="0"/>
              <w:bottom w:val="single" w:color="auto" w:sz="12" w:space="0"/>
              <w:right w:val="single" w:color="auto" w:sz="4" w:space="0"/>
            </w:tcBorders>
            <w:vAlign w:val="center"/>
          </w:tcPr>
          <w:p>
            <w:pPr>
              <w:spacing w:line="300" w:lineRule="auto"/>
              <w:jc w:val="center"/>
              <w:rPr>
                <w:rFonts w:eastAsia="仿宋"/>
                <w:sz w:val="24"/>
                <w:highlight w:val="none"/>
              </w:rPr>
            </w:pPr>
          </w:p>
        </w:tc>
        <w:tc>
          <w:tcPr>
            <w:tcW w:w="1363" w:type="dxa"/>
            <w:tcBorders>
              <w:top w:val="single" w:color="auto" w:sz="4" w:space="0"/>
              <w:left w:val="single" w:color="auto" w:sz="4" w:space="0"/>
              <w:bottom w:val="single" w:color="auto" w:sz="12" w:space="0"/>
              <w:right w:val="single" w:color="auto" w:sz="4" w:space="0"/>
            </w:tcBorders>
            <w:vAlign w:val="center"/>
          </w:tcPr>
          <w:p>
            <w:pPr>
              <w:spacing w:line="300" w:lineRule="auto"/>
              <w:jc w:val="center"/>
              <w:rPr>
                <w:rFonts w:eastAsia="仿宋"/>
                <w:sz w:val="24"/>
                <w:highlight w:val="none"/>
              </w:rPr>
            </w:pPr>
          </w:p>
        </w:tc>
        <w:tc>
          <w:tcPr>
            <w:tcW w:w="809" w:type="dxa"/>
            <w:tcBorders>
              <w:top w:val="single" w:color="auto" w:sz="4" w:space="0"/>
              <w:left w:val="single" w:color="auto" w:sz="4" w:space="0"/>
              <w:bottom w:val="single" w:color="auto" w:sz="12" w:space="0"/>
              <w:right w:val="single" w:color="auto" w:sz="12" w:space="0"/>
            </w:tcBorders>
            <w:vAlign w:val="center"/>
          </w:tcPr>
          <w:p>
            <w:pPr>
              <w:spacing w:line="300" w:lineRule="auto"/>
              <w:jc w:val="center"/>
              <w:rPr>
                <w:rFonts w:eastAsia="仿宋"/>
                <w:sz w:val="24"/>
                <w:highlight w:val="none"/>
              </w:rPr>
            </w:pPr>
          </w:p>
        </w:tc>
      </w:tr>
    </w:tbl>
    <w:p>
      <w:pPr>
        <w:spacing w:line="300" w:lineRule="auto"/>
        <w:ind w:firstLine="484" w:firstLineChars="202"/>
        <w:rPr>
          <w:rFonts w:eastAsia="仿宋"/>
          <w:sz w:val="24"/>
          <w:highlight w:val="none"/>
        </w:rPr>
      </w:pPr>
      <w:r>
        <w:rPr>
          <w:rFonts w:eastAsia="仿宋"/>
          <w:sz w:val="24"/>
          <w:highlight w:val="none"/>
        </w:rPr>
        <w:t>注：</w:t>
      </w:r>
    </w:p>
    <w:p>
      <w:pPr>
        <w:numPr>
          <w:ilvl w:val="0"/>
          <w:numId w:val="1"/>
        </w:numPr>
        <w:spacing w:line="300" w:lineRule="auto"/>
        <w:ind w:firstLine="484" w:firstLineChars="202"/>
        <w:rPr>
          <w:rFonts w:eastAsia="仿宋"/>
          <w:sz w:val="24"/>
          <w:highlight w:val="none"/>
        </w:rPr>
      </w:pPr>
      <w:r>
        <w:rPr>
          <w:rFonts w:eastAsia="仿宋"/>
          <w:sz w:val="24"/>
          <w:highlight w:val="none"/>
        </w:rPr>
        <w:t>投标供应商应对照</w:t>
      </w:r>
      <w:r>
        <w:rPr>
          <w:rFonts w:hint="eastAsia" w:eastAsia="仿宋"/>
          <w:sz w:val="24"/>
          <w:highlight w:val="none"/>
        </w:rPr>
        <w:t>采购文件采购清单</w:t>
      </w:r>
      <w:r>
        <w:rPr>
          <w:rFonts w:eastAsia="仿宋"/>
          <w:sz w:val="24"/>
          <w:highlight w:val="none"/>
        </w:rPr>
        <w:t>内的要求，逐一填写。</w:t>
      </w:r>
    </w:p>
    <w:p>
      <w:pPr>
        <w:spacing w:line="300" w:lineRule="auto"/>
        <w:ind w:firstLine="484" w:firstLineChars="202"/>
        <w:rPr>
          <w:rFonts w:eastAsia="仿宋"/>
          <w:sz w:val="24"/>
          <w:highlight w:val="none"/>
        </w:rPr>
      </w:pPr>
      <w:r>
        <w:rPr>
          <w:rFonts w:eastAsia="仿宋"/>
          <w:sz w:val="24"/>
          <w:highlight w:val="none"/>
        </w:rPr>
        <w:t>2、该表不作为投标供应商对所投标的物关于技术要求等详细描述和说明的替代。</w:t>
      </w:r>
    </w:p>
    <w:p>
      <w:pPr>
        <w:spacing w:line="300" w:lineRule="auto"/>
        <w:ind w:firstLine="484" w:firstLineChars="202"/>
        <w:rPr>
          <w:rFonts w:eastAsia="仿宋"/>
          <w:sz w:val="24"/>
          <w:highlight w:val="none"/>
        </w:rPr>
      </w:pPr>
      <w:r>
        <w:rPr>
          <w:rFonts w:eastAsia="仿宋"/>
          <w:sz w:val="24"/>
          <w:highlight w:val="none"/>
        </w:rPr>
        <w:t>3、投标供应商如果虚假响应，将承担一切可能的风险。</w:t>
      </w:r>
    </w:p>
    <w:p>
      <w:pPr>
        <w:spacing w:line="300" w:lineRule="auto"/>
        <w:ind w:firstLine="484" w:firstLineChars="202"/>
        <w:rPr>
          <w:rFonts w:eastAsia="仿宋"/>
          <w:sz w:val="24"/>
          <w:highlight w:val="none"/>
        </w:rPr>
      </w:pPr>
      <w:r>
        <w:rPr>
          <w:rFonts w:eastAsia="仿宋"/>
          <w:sz w:val="24"/>
          <w:highlight w:val="none"/>
        </w:rPr>
        <w:t>4、投标供应商若提供其他增值服务，可以在表中自行据实填写。所投产品品牌型号必须确定、唯一。</w:t>
      </w:r>
    </w:p>
    <w:p>
      <w:pPr>
        <w:spacing w:line="300" w:lineRule="auto"/>
        <w:ind w:firstLine="484" w:firstLineChars="202"/>
        <w:rPr>
          <w:rFonts w:eastAsia="仿宋"/>
          <w:sz w:val="24"/>
          <w:highlight w:val="none"/>
        </w:rPr>
      </w:pPr>
      <w:r>
        <w:rPr>
          <w:rFonts w:eastAsia="仿宋"/>
          <w:sz w:val="24"/>
          <w:highlight w:val="none"/>
        </w:rPr>
        <w:t>供应商：（公章）</w:t>
      </w:r>
    </w:p>
    <w:p>
      <w:pPr>
        <w:spacing w:line="300" w:lineRule="auto"/>
        <w:ind w:firstLine="484" w:firstLineChars="202"/>
        <w:rPr>
          <w:rFonts w:eastAsia="仿宋"/>
          <w:sz w:val="24"/>
          <w:highlight w:val="none"/>
        </w:rPr>
      </w:pPr>
      <w:r>
        <w:rPr>
          <w:rFonts w:eastAsia="仿宋"/>
          <w:sz w:val="24"/>
          <w:highlight w:val="none"/>
        </w:rPr>
        <w:t>法定代表人或被授权人：（签字或盖章）</w:t>
      </w:r>
    </w:p>
    <w:p>
      <w:pPr>
        <w:spacing w:line="300" w:lineRule="auto"/>
        <w:ind w:firstLine="484" w:firstLineChars="202"/>
        <w:rPr>
          <w:rFonts w:eastAsia="仿宋"/>
          <w:sz w:val="24"/>
          <w:highlight w:val="none"/>
        </w:rPr>
      </w:pPr>
      <w:r>
        <w:rPr>
          <w:rFonts w:eastAsia="仿宋"/>
          <w:sz w:val="24"/>
          <w:highlight w:val="none"/>
        </w:rPr>
        <w:t>日期：年月日</w:t>
      </w:r>
    </w:p>
    <w:p>
      <w:pPr>
        <w:spacing w:line="360" w:lineRule="auto"/>
        <w:jc w:val="center"/>
        <w:outlineLvl w:val="4"/>
        <w:rPr>
          <w:rFonts w:hint="eastAsia" w:ascii="仿宋" w:hAnsi="仿宋" w:eastAsia="仿宋" w:cs="仿宋"/>
          <w:b/>
          <w:bCs/>
          <w:sz w:val="24"/>
          <w:szCs w:val="24"/>
          <w:highlight w:val="none"/>
        </w:rPr>
      </w:pPr>
    </w:p>
    <w:p>
      <w:pPr>
        <w:pStyle w:val="2"/>
        <w:rPr>
          <w:rFonts w:hint="eastAsia"/>
          <w:highlight w:val="none"/>
        </w:rPr>
      </w:pPr>
    </w:p>
    <w:p>
      <w:pPr>
        <w:spacing w:beforeLines="150" w:afterLines="50" w:line="420" w:lineRule="exact"/>
        <w:jc w:val="both"/>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beforeLines="150" w:afterLines="50" w:line="420" w:lineRule="exact"/>
        <w:jc w:val="both"/>
        <w:outlineLvl w:val="3"/>
        <w:rPr>
          <w:rFonts w:ascii="仿宋" w:hAnsi="仿宋" w:eastAsia="仿宋" w:cs="仿宋"/>
          <w:b/>
          <w:sz w:val="24"/>
          <w:szCs w:val="24"/>
          <w:highlight w:val="none"/>
        </w:rPr>
      </w:pPr>
      <w:r>
        <w:rPr>
          <w:rFonts w:hint="eastAsia" w:ascii="仿宋" w:hAnsi="仿宋" w:eastAsia="仿宋" w:cs="仿宋"/>
          <w:b/>
          <w:sz w:val="24"/>
          <w:szCs w:val="24"/>
          <w:highlight w:val="none"/>
        </w:rPr>
        <w:t>（二）商务报价响应文件相关的格式文件及表格</w:t>
      </w:r>
    </w:p>
    <w:p>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开标一览表</w:t>
      </w:r>
    </w:p>
    <w:p>
      <w:pPr>
        <w:jc w:val="both"/>
        <w:rPr>
          <w:rFonts w:ascii="仿宋" w:hAnsi="仿宋" w:eastAsia="仿宋" w:cs="仿宋"/>
          <w:sz w:val="24"/>
          <w:szCs w:val="24"/>
          <w:highlight w:val="none"/>
        </w:rPr>
      </w:pPr>
      <w:r>
        <w:rPr>
          <w:rFonts w:hint="eastAsia" w:ascii="仿宋" w:hAnsi="仿宋" w:eastAsia="仿宋" w:cs="仿宋"/>
          <w:sz w:val="24"/>
          <w:szCs w:val="24"/>
          <w:highlight w:val="none"/>
        </w:rPr>
        <w:t>投标人全称（加盖公章）：</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项目名称：南通工贸技师学院16号楼机房地面及综合布线项目</w:t>
      </w:r>
    </w:p>
    <w:p>
      <w:pPr>
        <w:jc w:val="both"/>
        <w:rPr>
          <w:rFonts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2379" w:type="dxa"/>
            <w:vAlign w:val="center"/>
          </w:tcPr>
          <w:p>
            <w:pPr>
              <w:spacing w:after="0"/>
              <w:jc w:val="both"/>
              <w:rPr>
                <w:rFonts w:ascii="仿宋" w:hAnsi="仿宋" w:eastAsia="仿宋" w:cs="仿宋"/>
                <w:sz w:val="24"/>
                <w:szCs w:val="24"/>
                <w:highlight w:val="none"/>
              </w:rPr>
            </w:pPr>
            <w:r>
              <w:rPr>
                <w:rFonts w:hint="eastAsia" w:ascii="仿宋" w:hAnsi="仿宋" w:eastAsia="仿宋" w:cs="仿宋"/>
                <w:sz w:val="24"/>
                <w:szCs w:val="24"/>
                <w:highlight w:val="none"/>
              </w:rPr>
              <w:t>投标货物、服务名称</w:t>
            </w:r>
          </w:p>
        </w:tc>
        <w:tc>
          <w:tcPr>
            <w:tcW w:w="6143" w:type="dxa"/>
            <w:vAlign w:val="center"/>
          </w:tcPr>
          <w:p>
            <w:pPr>
              <w:spacing w:after="0"/>
              <w:jc w:val="both"/>
              <w:rPr>
                <w:rFonts w:ascii="仿宋" w:hAnsi="仿宋" w:eastAsia="仿宋" w:cs="仿宋"/>
                <w:sz w:val="24"/>
                <w:szCs w:val="24"/>
                <w:highlight w:val="none"/>
              </w:rPr>
            </w:pPr>
            <w:r>
              <w:rPr>
                <w:rFonts w:hint="eastAsia" w:ascii="仿宋" w:hAnsi="仿宋" w:eastAsia="仿宋" w:cs="仿宋"/>
                <w:sz w:val="24"/>
                <w:szCs w:val="24"/>
                <w:highlight w:val="none"/>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2379" w:type="dxa"/>
            <w:vAlign w:val="center"/>
          </w:tcPr>
          <w:p>
            <w:pPr>
              <w:spacing w:after="0"/>
              <w:jc w:val="both"/>
              <w:rPr>
                <w:rFonts w:ascii="仿宋" w:hAnsi="仿宋" w:eastAsia="仿宋" w:cs="仿宋"/>
                <w:sz w:val="24"/>
                <w:szCs w:val="24"/>
                <w:highlight w:val="none"/>
              </w:rPr>
            </w:pPr>
            <w:r>
              <w:rPr>
                <w:rFonts w:hint="eastAsia" w:ascii="仿宋" w:hAnsi="仿宋" w:eastAsia="仿宋" w:cs="仿宋"/>
                <w:sz w:val="24"/>
                <w:szCs w:val="24"/>
                <w:highlight w:val="none"/>
              </w:rPr>
              <w:t>南通工贸技师学院16号楼机房地面及综合布线项目</w:t>
            </w:r>
          </w:p>
        </w:tc>
        <w:tc>
          <w:tcPr>
            <w:tcW w:w="6143" w:type="dxa"/>
            <w:vAlign w:val="center"/>
          </w:tcPr>
          <w:p>
            <w:pPr>
              <w:spacing w:after="0"/>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大写：   </w:t>
            </w:r>
          </w:p>
          <w:p>
            <w:pPr>
              <w:spacing w:after="0"/>
              <w:jc w:val="both"/>
              <w:rPr>
                <w:rFonts w:ascii="仿宋" w:hAnsi="仿宋" w:eastAsia="仿宋" w:cs="仿宋"/>
                <w:kern w:val="2"/>
                <w:sz w:val="24"/>
                <w:szCs w:val="24"/>
                <w:highlight w:val="none"/>
              </w:rPr>
            </w:pPr>
            <w:r>
              <w:rPr>
                <w:rFonts w:hint="eastAsia" w:ascii="仿宋" w:hAnsi="仿宋" w:eastAsia="仿宋" w:cs="仿宋"/>
                <w:sz w:val="24"/>
                <w:szCs w:val="24"/>
                <w:highlight w:val="none"/>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379" w:type="dxa"/>
            <w:vAlign w:val="center"/>
          </w:tcPr>
          <w:p>
            <w:pPr>
              <w:spacing w:after="0"/>
              <w:jc w:val="both"/>
              <w:rPr>
                <w:rFonts w:ascii="仿宋" w:hAnsi="仿宋" w:eastAsia="仿宋" w:cs="仿宋"/>
                <w:sz w:val="24"/>
                <w:szCs w:val="24"/>
                <w:highlight w:val="none"/>
              </w:rPr>
            </w:pPr>
            <w:r>
              <w:rPr>
                <w:rFonts w:hint="eastAsia" w:ascii="仿宋" w:hAnsi="仿宋" w:eastAsia="仿宋" w:cs="仿宋"/>
                <w:sz w:val="24"/>
                <w:szCs w:val="24"/>
                <w:highlight w:val="none"/>
              </w:rPr>
              <w:t>服务期</w:t>
            </w:r>
          </w:p>
        </w:tc>
        <w:tc>
          <w:tcPr>
            <w:tcW w:w="6143" w:type="dxa"/>
            <w:vAlign w:val="center"/>
          </w:tcPr>
          <w:p>
            <w:pPr>
              <w:spacing w:after="0"/>
              <w:jc w:val="both"/>
              <w:rPr>
                <w:rFonts w:ascii="仿宋" w:hAnsi="仿宋" w:eastAsia="仿宋" w:cs="仿宋"/>
                <w:sz w:val="24"/>
                <w:szCs w:val="24"/>
                <w:highlight w:val="none"/>
              </w:rPr>
            </w:pPr>
            <w:r>
              <w:rPr>
                <w:rFonts w:hint="eastAsia" w:ascii="仿宋" w:hAnsi="仿宋" w:eastAsia="仿宋" w:cs="仿宋"/>
                <w:sz w:val="24"/>
                <w:szCs w:val="24"/>
                <w:highlight w:val="none"/>
              </w:rPr>
              <w:t>自合同签定之日起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天内</w:t>
            </w:r>
            <w:r>
              <w:rPr>
                <w:rFonts w:hint="eastAsia" w:ascii="仿宋" w:hAnsi="仿宋" w:eastAsia="仿宋" w:cs="仿宋"/>
                <w:sz w:val="24"/>
                <w:szCs w:val="24"/>
                <w:highlight w:val="none"/>
                <w:lang w:val="en-US" w:eastAsia="zh-CN"/>
              </w:rPr>
              <w:t>完成交货安装</w:t>
            </w:r>
            <w:r>
              <w:rPr>
                <w:rFonts w:hint="eastAsia" w:ascii="仿宋" w:hAnsi="仿宋" w:eastAsia="仿宋" w:cs="仿宋"/>
                <w:sz w:val="24"/>
                <w:szCs w:val="24"/>
                <w:highlight w:val="none"/>
              </w:rPr>
              <w:t>。</w:t>
            </w:r>
          </w:p>
        </w:tc>
      </w:tr>
    </w:tbl>
    <w:p>
      <w:pPr>
        <w:ind w:firstLine="480" w:firstLineChars="200"/>
        <w:jc w:val="both"/>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pPr>
        <w:ind w:firstLine="480"/>
        <w:jc w:val="both"/>
        <w:rPr>
          <w:rFonts w:ascii="仿宋" w:hAnsi="仿宋" w:eastAsia="仿宋" w:cs="仿宋"/>
          <w:bCs/>
          <w:iCs/>
          <w:sz w:val="24"/>
          <w:szCs w:val="24"/>
          <w:highlight w:val="none"/>
        </w:rPr>
      </w:pPr>
      <w:r>
        <w:rPr>
          <w:rFonts w:hint="eastAsia" w:ascii="仿宋" w:hAnsi="仿宋" w:eastAsia="仿宋" w:cs="仿宋"/>
          <w:bCs/>
          <w:iCs/>
          <w:sz w:val="24"/>
          <w:szCs w:val="24"/>
          <w:highlight w:val="none"/>
        </w:rPr>
        <w:t>填写说明：</w:t>
      </w:r>
    </w:p>
    <w:p>
      <w:pPr>
        <w:spacing w:line="500" w:lineRule="exact"/>
        <w:ind w:firstLine="480" w:firstLineChars="200"/>
        <w:jc w:val="both"/>
        <w:rPr>
          <w:rFonts w:ascii="仿宋" w:hAnsi="仿宋" w:eastAsia="仿宋" w:cs="仿宋"/>
          <w:bCs/>
          <w:iCs/>
          <w:sz w:val="24"/>
          <w:szCs w:val="24"/>
          <w:highlight w:val="none"/>
        </w:rPr>
      </w:pPr>
      <w:r>
        <w:rPr>
          <w:rFonts w:hint="eastAsia" w:ascii="仿宋" w:hAnsi="仿宋" w:eastAsia="仿宋" w:cs="仿宋"/>
          <w:bCs/>
          <w:iCs/>
          <w:sz w:val="24"/>
          <w:szCs w:val="24"/>
          <w:highlight w:val="none"/>
        </w:rPr>
        <w:t>1、开标一览表必须加盖投标单位公章（复印件无效）。</w:t>
      </w:r>
    </w:p>
    <w:p>
      <w:pPr>
        <w:spacing w:after="0" w:line="540" w:lineRule="exact"/>
        <w:ind w:firstLine="480" w:firstLineChars="200"/>
        <w:jc w:val="both"/>
        <w:rPr>
          <w:rFonts w:hint="eastAsia" w:ascii="仿宋" w:hAnsi="仿宋" w:eastAsia="仿宋" w:cs="仿宋"/>
          <w:bCs/>
          <w:iCs/>
          <w:sz w:val="24"/>
          <w:szCs w:val="24"/>
          <w:highlight w:val="none"/>
          <w:lang w:val="zh-CN"/>
        </w:rPr>
      </w:pPr>
      <w:r>
        <w:rPr>
          <w:rFonts w:hint="eastAsia" w:ascii="仿宋" w:hAnsi="仿宋" w:eastAsia="仿宋" w:cs="仿宋"/>
          <w:bCs/>
          <w:iCs/>
          <w:sz w:val="24"/>
          <w:szCs w:val="24"/>
          <w:highlight w:val="none"/>
        </w:rPr>
        <w:t>2、响应报价应包括询价文件所确定的该项目的全部内容，包括响应及完成委托工作所需的一切费用，包含但不限于如所投设备及其备品、备件和专用工具费用、税费及包装、运至最终目的地的运输、保险、现场安装、检测验收、技术支持与培训、售后服务与维保及相关劳务支出等所发生的全部费用以及企业利润、税金和政策性文件规定及合同包含的所有风险、责任等各项应有费用。</w:t>
      </w:r>
    </w:p>
    <w:p>
      <w:pPr>
        <w:spacing w:after="0" w:line="540" w:lineRule="exact"/>
        <w:ind w:firstLine="480" w:firstLineChars="200"/>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3、投标总价超过采购预算的为无效报价。</w:t>
      </w:r>
    </w:p>
    <w:p>
      <w:pPr>
        <w:spacing w:line="360" w:lineRule="auto"/>
        <w:jc w:val="both"/>
        <w:rPr>
          <w:rFonts w:ascii="仿宋" w:hAnsi="仿宋" w:eastAsia="仿宋" w:cs="仿宋"/>
          <w:sz w:val="28"/>
          <w:szCs w:val="28"/>
          <w:highlight w:val="none"/>
        </w:rPr>
      </w:pPr>
    </w:p>
    <w:p>
      <w:pPr>
        <w:spacing w:line="360" w:lineRule="auto"/>
        <w:jc w:val="both"/>
        <w:rPr>
          <w:rFonts w:ascii="仿宋" w:hAnsi="仿宋" w:eastAsia="仿宋" w:cs="仿宋"/>
          <w:sz w:val="28"/>
          <w:szCs w:val="28"/>
          <w:highlight w:val="none"/>
        </w:rPr>
      </w:pPr>
    </w:p>
    <w:p>
      <w:pPr>
        <w:spacing w:line="360" w:lineRule="auto"/>
        <w:jc w:val="both"/>
        <w:rPr>
          <w:rFonts w:ascii="仿宋" w:hAnsi="仿宋" w:eastAsia="仿宋" w:cs="仿宋"/>
          <w:sz w:val="28"/>
          <w:szCs w:val="28"/>
          <w:highlight w:val="none"/>
        </w:rPr>
      </w:pPr>
    </w:p>
    <w:p>
      <w:pPr>
        <w:spacing w:line="400" w:lineRule="exact"/>
        <w:rPr>
          <w:rFonts w:ascii="楷体_GB2312"/>
          <w:sz w:val="28"/>
          <w:highlight w:val="none"/>
        </w:rPr>
      </w:pPr>
    </w:p>
    <w:p>
      <w:pPr>
        <w:pStyle w:val="2"/>
        <w:rPr>
          <w:highlight w:val="none"/>
        </w:rPr>
      </w:pPr>
    </w:p>
    <w:p>
      <w:pPr>
        <w:numPr>
          <w:ilvl w:val="0"/>
          <w:numId w:val="0"/>
        </w:numPr>
        <w:spacing w:line="360" w:lineRule="auto"/>
        <w:ind w:leftChars="202"/>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报价明细表</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（结合采购需求清单，需明确设备名称、响应参数、品牌、数量、单价等）</w:t>
      </w:r>
    </w:p>
    <w:p>
      <w:pPr>
        <w:spacing w:after="0" w:line="540" w:lineRule="exact"/>
        <w:ind w:firstLine="560" w:firstLineChars="200"/>
        <w:jc w:val="both"/>
        <w:rPr>
          <w:rFonts w:ascii="仿宋" w:hAnsi="仿宋" w:eastAsia="仿宋" w:cs="仿宋"/>
          <w:sz w:val="28"/>
          <w:szCs w:val="28"/>
          <w:highlight w:val="none"/>
        </w:rPr>
      </w:pPr>
    </w:p>
    <w:p>
      <w:pPr>
        <w:spacing w:after="0" w:line="540" w:lineRule="exact"/>
        <w:ind w:firstLine="560" w:firstLineChars="200"/>
        <w:jc w:val="both"/>
        <w:rPr>
          <w:rFonts w:ascii="仿宋" w:hAnsi="仿宋" w:eastAsia="仿宋" w:cs="仿宋"/>
          <w:sz w:val="28"/>
          <w:szCs w:val="28"/>
          <w:highlight w:val="none"/>
        </w:rPr>
      </w:pPr>
    </w:p>
    <w:p>
      <w:pPr>
        <w:widowControl w:val="0"/>
        <w:spacing w:line="300" w:lineRule="auto"/>
        <w:rPr>
          <w:rFonts w:ascii="仿宋" w:hAnsi="仿宋" w:eastAsia="仿宋" w:cs="仿宋"/>
          <w:kern w:val="2"/>
          <w:sz w:val="28"/>
          <w:szCs w:val="28"/>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ind w:firstLine="482" w:firstLineChars="200"/>
        <w:jc w:val="center"/>
        <w:rPr>
          <w:rFonts w:ascii="仿宋" w:hAnsi="仿宋" w:eastAsia="仿宋" w:cs="仿宋"/>
          <w:b/>
          <w:iCs/>
          <w:sz w:val="24"/>
          <w:szCs w:val="24"/>
          <w:highlight w:val="none"/>
        </w:rPr>
      </w:pPr>
    </w:p>
    <w:p>
      <w:pPr>
        <w:spacing w:after="0" w:line="540" w:lineRule="exact"/>
        <w:jc w:val="both"/>
        <w:rPr>
          <w:rFonts w:ascii="仿宋" w:hAnsi="仿宋" w:eastAsia="仿宋" w:cs="仿宋"/>
          <w:b/>
          <w:iCs/>
          <w:sz w:val="24"/>
          <w:szCs w:val="24"/>
          <w:highlight w:val="none"/>
        </w:rPr>
      </w:pPr>
    </w:p>
    <w:p>
      <w:pPr>
        <w:pStyle w:val="2"/>
        <w:rPr>
          <w:rFonts w:ascii="仿宋" w:hAnsi="仿宋" w:eastAsia="仿宋" w:cs="仿宋"/>
          <w:b/>
          <w:iCs/>
          <w:color w:val="auto"/>
          <w:highlight w:val="none"/>
        </w:rPr>
      </w:pPr>
    </w:p>
    <w:p>
      <w:pPr>
        <w:pStyle w:val="2"/>
        <w:rPr>
          <w:rFonts w:ascii="仿宋" w:hAnsi="仿宋" w:eastAsia="仿宋" w:cs="仿宋"/>
          <w:b/>
          <w:iCs/>
          <w:color w:val="auto"/>
          <w:highlight w:val="none"/>
        </w:rPr>
      </w:pPr>
    </w:p>
    <w:p>
      <w:pPr>
        <w:jc w:val="center"/>
        <w:rPr>
          <w:rFonts w:hint="eastAsia" w:ascii="仿宋" w:hAnsi="仿宋" w:eastAsia="仿宋" w:cs="仿宋"/>
          <w:sz w:val="24"/>
          <w:szCs w:val="24"/>
          <w:highlight w:val="none"/>
          <w:lang w:val="en-US" w:eastAsia="zh-CN"/>
        </w:rPr>
      </w:pPr>
    </w:p>
    <w:p>
      <w:pPr>
        <w:numPr>
          <w:ilvl w:val="0"/>
          <w:numId w:val="0"/>
        </w:num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bookmarkStart w:id="0" w:name="_GoBack"/>
      <w:bookmarkEnd w:id="0"/>
      <w:r>
        <w:rPr>
          <w:rFonts w:hint="eastAsia" w:ascii="仿宋" w:hAnsi="仿宋" w:eastAsia="仿宋" w:cs="仿宋"/>
          <w:sz w:val="28"/>
          <w:szCs w:val="28"/>
          <w:lang w:val="en-US" w:eastAsia="zh-CN"/>
        </w:rPr>
        <w:t>、</w:t>
      </w:r>
      <w:r>
        <w:rPr>
          <w:rFonts w:hint="eastAsia" w:ascii="仿宋" w:hAnsi="仿宋" w:eastAsia="仿宋" w:cs="仿宋"/>
          <w:sz w:val="28"/>
          <w:szCs w:val="28"/>
        </w:rPr>
        <w:t>中小企业声明函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货物</w:t>
      </w:r>
      <w:r>
        <w:rPr>
          <w:rFonts w:hint="eastAsia" w:ascii="仿宋" w:hAnsi="仿宋" w:eastAsia="仿宋" w:cs="仿宋"/>
          <w:sz w:val="28"/>
          <w:szCs w:val="28"/>
          <w:lang w:eastAsia="zh-CN"/>
        </w:rPr>
        <w:t>）</w:t>
      </w:r>
    </w:p>
    <w:p>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本公司（联合体）郑重声明，根据《政府采购促进中小 企业发展管理办法》（财库〔2020〕46 号）的规定，本公司（联合体）参加（单位名称）的（项目名称）采购活动，提供的货物全部由符合政策要求的中小企业制造。相关企业（含联合体中的中小企业、签订分包意向协议的中小企业） 的具体情况如下： </w:t>
      </w:r>
    </w:p>
    <w:p>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i/>
          <w:sz w:val="24"/>
          <w:szCs w:val="24"/>
          <w:u w:val="single"/>
        </w:rPr>
        <w:t xml:space="preserve"> （标的名称）</w:t>
      </w:r>
      <w:r>
        <w:rPr>
          <w:rFonts w:hint="eastAsia" w:ascii="仿宋" w:hAnsi="仿宋" w:eastAsia="仿宋" w:cs="仿宋"/>
          <w:sz w:val="24"/>
          <w:szCs w:val="24"/>
        </w:rPr>
        <w:t xml:space="preserve"> ，属于</w:t>
      </w:r>
      <w:r>
        <w:rPr>
          <w:rFonts w:hint="eastAsia" w:ascii="仿宋" w:hAnsi="仿宋" w:eastAsia="仿宋" w:cs="仿宋"/>
          <w:i/>
          <w:sz w:val="24"/>
          <w:szCs w:val="24"/>
          <w:u w:val="single"/>
        </w:rPr>
        <w:t>（采购文件中明确的所属行业） 行业</w:t>
      </w:r>
      <w:r>
        <w:rPr>
          <w:rFonts w:hint="eastAsia" w:ascii="仿宋" w:hAnsi="仿宋" w:eastAsia="仿宋" w:cs="仿宋"/>
          <w:sz w:val="24"/>
          <w:szCs w:val="24"/>
        </w:rPr>
        <w:t>；制造商为</w:t>
      </w:r>
      <w:r>
        <w:rPr>
          <w:rFonts w:hint="eastAsia" w:ascii="仿宋" w:hAnsi="仿宋" w:eastAsia="仿宋" w:cs="仿宋"/>
          <w:i/>
          <w:sz w:val="24"/>
          <w:szCs w:val="24"/>
          <w:u w:val="single"/>
        </w:rPr>
        <w:t>（企业名称）</w:t>
      </w:r>
      <w:r>
        <w:rPr>
          <w:rFonts w:hint="eastAsia" w:ascii="仿宋" w:hAnsi="仿宋" w:eastAsia="仿宋" w:cs="仿宋"/>
          <w:sz w:val="24"/>
          <w:szCs w:val="24"/>
        </w:rPr>
        <w:t>，从业人员</w:t>
      </w:r>
      <w:r>
        <w:rPr>
          <w:rFonts w:hint="eastAsia" w:ascii="仿宋" w:hAnsi="仿宋" w:eastAsia="仿宋" w:cs="仿宋"/>
          <w:i/>
          <w:sz w:val="24"/>
          <w:szCs w:val="24"/>
          <w:u w:val="single"/>
        </w:rPr>
        <w:t xml:space="preserve">      </w:t>
      </w:r>
      <w:r>
        <w:rPr>
          <w:rFonts w:hint="eastAsia" w:ascii="仿宋" w:hAnsi="仿宋" w:eastAsia="仿宋" w:cs="仿宋"/>
          <w:sz w:val="24"/>
          <w:szCs w:val="24"/>
        </w:rPr>
        <w:t>人，营业收 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rPr>
          <w:rStyle w:val="16"/>
          <w:rFonts w:hint="eastAsia" w:ascii="仿宋" w:hAnsi="仿宋" w:eastAsia="仿宋" w:cs="仿宋"/>
          <w:sz w:val="24"/>
          <w:szCs w:val="24"/>
        </w:rPr>
        <w:footnoteReference w:id="0"/>
      </w:r>
      <w:r>
        <w:rPr>
          <w:rFonts w:hint="eastAsia" w:ascii="仿宋" w:hAnsi="仿宋" w:eastAsia="仿宋" w:cs="仿宋"/>
          <w:sz w:val="24"/>
          <w:szCs w:val="24"/>
        </w:rPr>
        <w:t>，属于</w:t>
      </w:r>
      <w:r>
        <w:rPr>
          <w:rFonts w:hint="eastAsia" w:ascii="仿宋" w:hAnsi="仿宋" w:eastAsia="仿宋" w:cs="仿宋"/>
          <w:i/>
          <w:sz w:val="24"/>
          <w:szCs w:val="24"/>
          <w:u w:val="single"/>
        </w:rPr>
        <w:t>（中型企业、小 型企业、微型企业）</w:t>
      </w:r>
      <w:r>
        <w:rPr>
          <w:rFonts w:hint="eastAsia" w:ascii="仿宋" w:hAnsi="仿宋" w:eastAsia="仿宋" w:cs="仿宋"/>
          <w:sz w:val="24"/>
          <w:szCs w:val="24"/>
        </w:rPr>
        <w:t xml:space="preserve">； </w:t>
      </w:r>
    </w:p>
    <w:p>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i/>
          <w:sz w:val="24"/>
          <w:szCs w:val="24"/>
          <w:u w:val="single"/>
        </w:rPr>
        <w:t xml:space="preserve">（标的名称） </w:t>
      </w:r>
      <w:r>
        <w:rPr>
          <w:rFonts w:hint="eastAsia" w:ascii="仿宋" w:hAnsi="仿宋" w:eastAsia="仿宋" w:cs="仿宋"/>
          <w:sz w:val="24"/>
          <w:szCs w:val="24"/>
        </w:rPr>
        <w:t>，属于</w:t>
      </w:r>
      <w:r>
        <w:rPr>
          <w:rFonts w:hint="eastAsia" w:ascii="仿宋" w:hAnsi="仿宋" w:eastAsia="仿宋" w:cs="仿宋"/>
          <w:i/>
          <w:sz w:val="24"/>
          <w:szCs w:val="24"/>
          <w:u w:val="single"/>
        </w:rPr>
        <w:t>（采购文件中明确的所属行业） 行业</w:t>
      </w:r>
      <w:r>
        <w:rPr>
          <w:rFonts w:hint="eastAsia" w:ascii="仿宋" w:hAnsi="仿宋" w:eastAsia="仿宋" w:cs="仿宋"/>
          <w:sz w:val="24"/>
          <w:szCs w:val="24"/>
        </w:rPr>
        <w:t>；制造商为</w:t>
      </w:r>
      <w:r>
        <w:rPr>
          <w:rFonts w:hint="eastAsia" w:ascii="仿宋" w:hAnsi="仿宋" w:eastAsia="仿宋" w:cs="仿宋"/>
          <w:i/>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 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i/>
          <w:sz w:val="24"/>
          <w:szCs w:val="24"/>
          <w:u w:val="single"/>
        </w:rPr>
        <w:t>（中型企业、小型 企业、微型企业）</w:t>
      </w:r>
      <w:r>
        <w:rPr>
          <w:rFonts w:hint="eastAsia" w:ascii="仿宋" w:hAnsi="仿宋" w:eastAsia="仿宋" w:cs="仿宋"/>
          <w:sz w:val="24"/>
          <w:szCs w:val="24"/>
        </w:rPr>
        <w:t xml:space="preserve">； </w:t>
      </w:r>
    </w:p>
    <w:p>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以上企业，不属于大企业的分支机构，不存在控股股东 为大企业的情形，也不存在与大企业的负责人为同一人的情形。 </w:t>
      </w:r>
    </w:p>
    <w:p>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本企业对上述声明内容的真实性负责。如有虚假，将依 法承担相应责任。 </w:t>
      </w:r>
    </w:p>
    <w:p>
      <w:pPr>
        <w:adjustRightInd w:val="0"/>
        <w:snapToGrid w:val="0"/>
        <w:spacing w:line="500" w:lineRule="exact"/>
        <w:ind w:firstLine="480" w:firstLineChars="200"/>
        <w:rPr>
          <w:rFonts w:hint="eastAsia" w:ascii="仿宋" w:hAnsi="仿宋" w:eastAsia="仿宋" w:cs="仿宋"/>
          <w:sz w:val="24"/>
          <w:szCs w:val="24"/>
        </w:rPr>
      </w:pPr>
    </w:p>
    <w:p>
      <w:pPr>
        <w:adjustRightInd w:val="0"/>
        <w:snapToGrid w:val="0"/>
        <w:spacing w:line="500" w:lineRule="exact"/>
        <w:ind w:firstLine="480" w:firstLineChars="200"/>
        <w:rPr>
          <w:rFonts w:hint="eastAsia" w:ascii="仿宋" w:hAnsi="仿宋" w:eastAsia="仿宋" w:cs="仿宋"/>
          <w:sz w:val="24"/>
          <w:szCs w:val="24"/>
        </w:rPr>
      </w:pPr>
    </w:p>
    <w:p>
      <w:pPr>
        <w:adjustRightInd w:val="0"/>
        <w:snapToGrid w:val="0"/>
        <w:spacing w:line="500" w:lineRule="exact"/>
        <w:ind w:firstLine="2880" w:firstLineChars="1200"/>
        <w:jc w:val="left"/>
        <w:rPr>
          <w:rFonts w:hint="eastAsia" w:ascii="仿宋" w:hAnsi="仿宋" w:eastAsia="仿宋" w:cs="仿宋"/>
          <w:sz w:val="24"/>
          <w:szCs w:val="24"/>
        </w:rPr>
      </w:pPr>
      <w:r>
        <w:rPr>
          <w:rFonts w:hint="eastAsia" w:ascii="仿宋" w:hAnsi="仿宋" w:eastAsia="仿宋" w:cs="仿宋"/>
          <w:sz w:val="24"/>
          <w:szCs w:val="24"/>
        </w:rPr>
        <w:t xml:space="preserve">企业名称（盖章）： </w:t>
      </w:r>
    </w:p>
    <w:p>
      <w:pPr>
        <w:adjustRightInd w:val="0"/>
        <w:snapToGrid w:val="0"/>
        <w:spacing w:line="500" w:lineRule="exact"/>
        <w:ind w:firstLine="2880" w:firstLineChars="1200"/>
        <w:jc w:val="left"/>
        <w:rPr>
          <w:rFonts w:hint="eastAsia" w:ascii="仿宋" w:hAnsi="仿宋" w:eastAsia="仿宋" w:cs="仿宋"/>
          <w:sz w:val="24"/>
          <w:szCs w:val="24"/>
        </w:rPr>
      </w:pPr>
      <w:r>
        <w:rPr>
          <w:rFonts w:hint="eastAsia" w:ascii="仿宋" w:hAnsi="仿宋" w:eastAsia="仿宋" w:cs="仿宋"/>
          <w:sz w:val="24"/>
          <w:szCs w:val="24"/>
        </w:rPr>
        <w:t>日 期：</w:t>
      </w:r>
    </w:p>
    <w:p>
      <w:pPr>
        <w:rPr>
          <w:highlight w:val="none"/>
        </w:rPr>
      </w:pPr>
    </w:p>
    <w:sectPr>
      <w:pgSz w:w="11906" w:h="16838"/>
      <w:pgMar w:top="1588" w:right="1304"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pPr>
      <w:r>
        <w:separator/>
      </w:r>
    </w:p>
  </w:footnote>
  <w:footnote w:type="continuationSeparator" w:id="3">
    <w:p>
      <w:pPr>
        <w:spacing w:before="0" w:after="0"/>
      </w:pPr>
      <w:r>
        <w:continuationSeparator/>
      </w:r>
    </w:p>
  </w:footnote>
  <w:footnote w:id="0">
    <w:p>
      <w:pPr>
        <w:pStyle w:val="11"/>
        <w:rPr>
          <w:rFonts w:hint="eastAsia"/>
        </w:rPr>
      </w:pPr>
      <w:r>
        <w:rPr>
          <w:rStyle w:val="16"/>
        </w:rPr>
        <w:footnoteRef/>
      </w:r>
      <w:r>
        <w:rPr>
          <w:rFonts w:ascii="宋体" w:hAnsi="宋体" w:cs="宋体"/>
        </w:rPr>
        <w:t>从业人员、营业收入、资产总额填报上一年度数据，无上一年度数据的新成立企业可不填报。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E5119"/>
    <w:multiLevelType w:val="singleLevel"/>
    <w:tmpl w:val="58AE5119"/>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llYTYzM2M2NDRjODAzNWIyODg4MmQzOWZmODdmMjEifQ=="/>
  </w:docVars>
  <w:rsids>
    <w:rsidRoot w:val="00705E2E"/>
    <w:rsid w:val="000874F4"/>
    <w:rsid w:val="00093889"/>
    <w:rsid w:val="0010690E"/>
    <w:rsid w:val="001217E8"/>
    <w:rsid w:val="00172420"/>
    <w:rsid w:val="0018443B"/>
    <w:rsid w:val="001C290C"/>
    <w:rsid w:val="001E263F"/>
    <w:rsid w:val="001F6F4A"/>
    <w:rsid w:val="002100E3"/>
    <w:rsid w:val="002101C2"/>
    <w:rsid w:val="002229C9"/>
    <w:rsid w:val="00232759"/>
    <w:rsid w:val="00293CDF"/>
    <w:rsid w:val="002F446D"/>
    <w:rsid w:val="00417C84"/>
    <w:rsid w:val="00417D5B"/>
    <w:rsid w:val="004424D2"/>
    <w:rsid w:val="004736CA"/>
    <w:rsid w:val="004B72AE"/>
    <w:rsid w:val="005816A8"/>
    <w:rsid w:val="005E6F17"/>
    <w:rsid w:val="005F7219"/>
    <w:rsid w:val="00696E34"/>
    <w:rsid w:val="006A332B"/>
    <w:rsid w:val="006F3BC4"/>
    <w:rsid w:val="00705E2E"/>
    <w:rsid w:val="00744BA1"/>
    <w:rsid w:val="0077790A"/>
    <w:rsid w:val="007A7491"/>
    <w:rsid w:val="007E20BC"/>
    <w:rsid w:val="007E3C9C"/>
    <w:rsid w:val="00806BAB"/>
    <w:rsid w:val="008762B9"/>
    <w:rsid w:val="008C69E8"/>
    <w:rsid w:val="0093750E"/>
    <w:rsid w:val="009730C2"/>
    <w:rsid w:val="0098131C"/>
    <w:rsid w:val="009B5E74"/>
    <w:rsid w:val="00A311C7"/>
    <w:rsid w:val="00A328C0"/>
    <w:rsid w:val="00A47184"/>
    <w:rsid w:val="00B10B64"/>
    <w:rsid w:val="00BB58E5"/>
    <w:rsid w:val="00BD3CCD"/>
    <w:rsid w:val="00CB7F42"/>
    <w:rsid w:val="00D17217"/>
    <w:rsid w:val="00D327CF"/>
    <w:rsid w:val="00D80D03"/>
    <w:rsid w:val="00E51438"/>
    <w:rsid w:val="00E54AA2"/>
    <w:rsid w:val="00E63A09"/>
    <w:rsid w:val="00E84016"/>
    <w:rsid w:val="00E91F6B"/>
    <w:rsid w:val="0220636A"/>
    <w:rsid w:val="07A94976"/>
    <w:rsid w:val="1B2A5818"/>
    <w:rsid w:val="1BE650FF"/>
    <w:rsid w:val="1E7D2A6F"/>
    <w:rsid w:val="28904F0C"/>
    <w:rsid w:val="338C31B7"/>
    <w:rsid w:val="40F70F26"/>
    <w:rsid w:val="449A5A2B"/>
    <w:rsid w:val="48D22147"/>
    <w:rsid w:val="49BF2438"/>
    <w:rsid w:val="4EFB743E"/>
    <w:rsid w:val="55EC68F9"/>
    <w:rsid w:val="56AE30D6"/>
    <w:rsid w:val="5DDA7F34"/>
    <w:rsid w:val="604762ED"/>
    <w:rsid w:val="6E9D00A4"/>
    <w:rsid w:val="6EED6736"/>
    <w:rsid w:val="6F6B5AFD"/>
    <w:rsid w:val="6FCA1FA3"/>
    <w:rsid w:val="71BE7C8A"/>
    <w:rsid w:val="7B06667E"/>
    <w:rsid w:val="7ED30799"/>
    <w:rsid w:val="B6C5CE53"/>
    <w:rsid w:val="FFCF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paragraph" w:styleId="3">
    <w:name w:val="Normal Indent"/>
    <w:basedOn w:val="1"/>
    <w:qFormat/>
    <w:uiPriority w:val="0"/>
    <w:pPr>
      <w:adjustRightInd w:val="0"/>
      <w:ind w:firstLine="420"/>
      <w:jc w:val="left"/>
      <w:textAlignment w:val="baseline"/>
    </w:pPr>
    <w:rPr>
      <w:sz w:val="24"/>
    </w:rPr>
  </w:style>
  <w:style w:type="paragraph" w:styleId="4">
    <w:name w:val="Body Text"/>
    <w:next w:val="5"/>
    <w:qFormat/>
    <w:uiPriority w:val="0"/>
    <w:pPr>
      <w:adjustRightInd w:val="0"/>
      <w:snapToGrid w:val="0"/>
      <w:spacing w:after="200" w:line="400" w:lineRule="exact"/>
    </w:pPr>
    <w:rPr>
      <w:rFonts w:ascii="楷体_GB2312" w:hAnsi="Tahoma" w:eastAsia="宋体" w:cs="Times New Roman"/>
      <w:sz w:val="28"/>
      <w:szCs w:val="22"/>
      <w:lang w:val="en-US" w:eastAsia="zh-CN" w:bidi="ar-SA"/>
    </w:rPr>
  </w:style>
  <w:style w:type="paragraph" w:styleId="5">
    <w:name w:val="toc 9"/>
    <w:next w:val="1"/>
    <w:unhideWhenUsed/>
    <w:qFormat/>
    <w:uiPriority w:val="39"/>
    <w:pPr>
      <w:wordWrap w:val="0"/>
      <w:adjustRightInd w:val="0"/>
      <w:snapToGrid w:val="0"/>
      <w:spacing w:after="200"/>
      <w:ind w:left="2975"/>
      <w:jc w:val="both"/>
    </w:pPr>
    <w:rPr>
      <w:rFonts w:ascii="Times New Roman" w:hAnsi="Times New Roman" w:eastAsia="宋体" w:cs="Times New Roman"/>
      <w:sz w:val="21"/>
      <w:szCs w:val="22"/>
      <w:lang w:val="en-US" w:eastAsia="zh-CN" w:bidi="ar-SA"/>
    </w:rPr>
  </w:style>
  <w:style w:type="paragraph" w:styleId="6">
    <w:name w:val="Plain Text"/>
    <w:basedOn w:val="1"/>
    <w:qFormat/>
    <w:uiPriority w:val="0"/>
    <w:pPr>
      <w:autoSpaceDE w:val="0"/>
      <w:autoSpaceDN w:val="0"/>
    </w:pPr>
    <w:rPr>
      <w:rFonts w:ascii="宋体" w:hAnsi="Times New Roman"/>
      <w:szCs w:val="20"/>
    </w:rPr>
  </w:style>
  <w:style w:type="paragraph" w:styleId="7">
    <w:name w:val="Balloon Text"/>
    <w:basedOn w:val="1"/>
    <w:link w:val="27"/>
    <w:qFormat/>
    <w:uiPriority w:val="0"/>
    <w:pPr>
      <w:spacing w:after="0"/>
    </w:pPr>
    <w:rPr>
      <w:sz w:val="18"/>
      <w:szCs w:val="18"/>
    </w:rPr>
  </w:style>
  <w:style w:type="paragraph" w:styleId="8">
    <w:name w:val="footer"/>
    <w:basedOn w:val="1"/>
    <w:link w:val="22"/>
    <w:qFormat/>
    <w:uiPriority w:val="0"/>
    <w:pPr>
      <w:tabs>
        <w:tab w:val="center" w:pos="4153"/>
        <w:tab w:val="right" w:pos="8306"/>
      </w:tabs>
    </w:pPr>
    <w:rPr>
      <w:sz w:val="18"/>
      <w:szCs w:val="18"/>
    </w:rPr>
  </w:style>
  <w:style w:type="paragraph" w:styleId="9">
    <w:name w:val="header"/>
    <w:basedOn w:val="1"/>
    <w:qFormat/>
    <w:uiPriority w:val="0"/>
    <w:pPr>
      <w:pBdr>
        <w:bottom w:val="single" w:color="auto" w:sz="6" w:space="1"/>
      </w:pBdr>
      <w:tabs>
        <w:tab w:val="center" w:pos="4153"/>
        <w:tab w:val="right" w:pos="8306"/>
      </w:tabs>
      <w:jc w:val="center"/>
    </w:pPr>
    <w:rPr>
      <w:sz w:val="18"/>
      <w:szCs w:val="18"/>
    </w:rPr>
  </w:style>
  <w:style w:type="paragraph" w:styleId="10">
    <w:name w:val="toc 1"/>
    <w:basedOn w:val="1"/>
    <w:next w:val="1"/>
    <w:qFormat/>
    <w:uiPriority w:val="39"/>
    <w:pPr>
      <w:tabs>
        <w:tab w:val="left" w:pos="840"/>
        <w:tab w:val="right" w:leader="dot" w:pos="9402"/>
      </w:tabs>
      <w:adjustRightInd w:val="0"/>
      <w:snapToGrid w:val="0"/>
      <w:spacing w:line="360" w:lineRule="auto"/>
      <w:jc w:val="left"/>
    </w:pPr>
    <w:rPr>
      <w:rFonts w:ascii="Arial" w:hAnsi="宋体"/>
      <w:caps/>
      <w:w w:val="80"/>
      <w:sz w:val="24"/>
    </w:rPr>
  </w:style>
  <w:style w:type="paragraph" w:styleId="11">
    <w:name w:val="footnote text"/>
    <w:basedOn w:val="1"/>
    <w:qFormat/>
    <w:uiPriority w:val="0"/>
    <w:pPr>
      <w:snapToGrid w:val="0"/>
      <w:jc w:val="left"/>
    </w:pPr>
    <w:rPr>
      <w:sz w:val="18"/>
      <w:szCs w:val="18"/>
    </w:rPr>
  </w:style>
  <w:style w:type="paragraph" w:styleId="12">
    <w:name w:val="Normal (Web)"/>
    <w:basedOn w:val="1"/>
    <w:qFormat/>
    <w:uiPriority w:val="99"/>
    <w:pPr>
      <w:spacing w:before="100" w:beforeAutospacing="1" w:after="100" w:afterAutospacing="1"/>
    </w:pPr>
    <w:rPr>
      <w:rFonts w:ascii="Calibri" w:hAnsi="Calibri"/>
      <w:sz w:val="24"/>
      <w:szCs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otnote reference"/>
    <w:qFormat/>
    <w:uiPriority w:val="0"/>
    <w:rPr>
      <w:vertAlign w:val="superscript"/>
    </w:rPr>
  </w:style>
  <w:style w:type="paragraph" w:customStyle="1" w:styleId="17">
    <w:name w:val="列表段落1"/>
    <w:basedOn w:val="1"/>
    <w:qFormat/>
    <w:uiPriority w:val="34"/>
    <w:pPr>
      <w:widowControl w:val="0"/>
      <w:adjustRightInd/>
      <w:snapToGrid/>
      <w:spacing w:after="0"/>
      <w:ind w:firstLine="420" w:firstLineChars="200"/>
      <w:jc w:val="both"/>
    </w:pPr>
    <w:rPr>
      <w:rFonts w:ascii="Calibri" w:hAnsi="Calibri"/>
      <w:sz w:val="20"/>
      <w:szCs w:val="20"/>
    </w:rPr>
  </w:style>
  <w:style w:type="character" w:customStyle="1" w:styleId="18">
    <w:name w:val="font61"/>
    <w:qFormat/>
    <w:uiPriority w:val="0"/>
    <w:rPr>
      <w:rFonts w:hint="eastAsia" w:ascii="宋体" w:hAnsi="宋体" w:eastAsia="宋体" w:cs="宋体"/>
      <w:color w:val="000000"/>
      <w:sz w:val="20"/>
      <w:szCs w:val="20"/>
      <w:u w:val="none"/>
    </w:rPr>
  </w:style>
  <w:style w:type="paragraph" w:customStyle="1" w:styleId="19">
    <w:name w:val="BodyText1I2"/>
    <w:qFormat/>
    <w:uiPriority w:val="0"/>
    <w:pPr>
      <w:adjustRightInd w:val="0"/>
      <w:snapToGrid w:val="0"/>
      <w:spacing w:after="200"/>
      <w:ind w:firstLine="420" w:firstLineChars="200"/>
      <w:jc w:val="both"/>
      <w:textAlignment w:val="baseline"/>
    </w:pPr>
    <w:rPr>
      <w:rFonts w:ascii="Tahoma" w:hAnsi="Tahoma" w:eastAsia="楷体_GB2312" w:cs="Times New Roman"/>
      <w:kern w:val="2"/>
      <w:sz w:val="24"/>
      <w:szCs w:val="22"/>
      <w:lang w:val="en-US" w:eastAsia="zh-CN" w:bidi="ar-SA"/>
    </w:rPr>
  </w:style>
  <w:style w:type="paragraph" w:customStyle="1" w:styleId="20">
    <w:name w:val="普通正文"/>
    <w:qFormat/>
    <w:uiPriority w:val="0"/>
    <w:pPr>
      <w:adjustRightInd w:val="0"/>
      <w:snapToGrid w:val="0"/>
      <w:spacing w:before="120" w:after="120" w:line="360" w:lineRule="auto"/>
      <w:ind w:firstLine="480"/>
      <w:textAlignment w:val="baseline"/>
    </w:pPr>
    <w:rPr>
      <w:rFonts w:ascii="Arial" w:hAnsi="Arial" w:eastAsia="宋体" w:cs="Times New Roman"/>
      <w:sz w:val="24"/>
      <w:szCs w:val="24"/>
      <w:lang w:val="en-US" w:eastAsia="zh-CN" w:bidi="ar-SA"/>
    </w:rPr>
  </w:style>
  <w:style w:type="paragraph" w:customStyle="1" w:styleId="21">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character" w:customStyle="1" w:styleId="22">
    <w:name w:val="页脚 Char"/>
    <w:basedOn w:val="15"/>
    <w:link w:val="8"/>
    <w:qFormat/>
    <w:uiPriority w:val="0"/>
    <w:rPr>
      <w:rFonts w:ascii="Tahoma" w:hAnsi="Tahoma" w:eastAsia="宋体" w:cs="Times New Roman"/>
      <w:sz w:val="18"/>
      <w:szCs w:val="18"/>
    </w:rPr>
  </w:style>
  <w:style w:type="paragraph" w:styleId="23">
    <w:name w:val="List Paragraph"/>
    <w:basedOn w:val="1"/>
    <w:qFormat/>
    <w:uiPriority w:val="99"/>
    <w:pPr>
      <w:widowControl w:val="0"/>
      <w:adjustRightInd/>
      <w:snapToGrid/>
      <w:spacing w:after="0"/>
      <w:ind w:firstLine="420" w:firstLineChars="200"/>
      <w:jc w:val="both"/>
    </w:pPr>
    <w:rPr>
      <w:rFonts w:ascii="Times New Roman" w:hAnsi="Times New Roman"/>
      <w:kern w:val="2"/>
      <w:sz w:val="21"/>
      <w:szCs w:val="20"/>
    </w:rPr>
  </w:style>
  <w:style w:type="paragraph" w:customStyle="1" w:styleId="24">
    <w:name w:val="普通(网站) Char"/>
    <w:basedOn w:val="1"/>
    <w:qFormat/>
    <w:uiPriority w:val="0"/>
    <w:pPr>
      <w:adjustRightInd/>
      <w:snapToGrid/>
      <w:spacing w:beforeAutospacing="1" w:after="0" w:afterAutospacing="1"/>
    </w:pPr>
    <w:rPr>
      <w:rFonts w:hint="eastAsia" w:ascii="宋体" w:hAnsi="宋体"/>
      <w:sz w:val="24"/>
      <w:szCs w:val="24"/>
    </w:rPr>
  </w:style>
  <w:style w:type="paragraph" w:customStyle="1" w:styleId="25">
    <w:name w:val="样式40"/>
    <w:basedOn w:val="1"/>
    <w:qFormat/>
    <w:uiPriority w:val="0"/>
    <w:pPr>
      <w:spacing w:beforeLines="25" w:afterLines="25" w:line="500" w:lineRule="exact"/>
      <w:jc w:val="center"/>
    </w:pPr>
    <w:rPr>
      <w:rFonts w:ascii="Times New Roman" w:hAnsi="Times New Roman" w:eastAsia="隶书"/>
      <w:bCs/>
      <w:sz w:val="44"/>
      <w:szCs w:val="44"/>
    </w:rPr>
  </w:style>
  <w:style w:type="paragraph" w:customStyle="1" w:styleId="26">
    <w:name w:val="1.1.1.1"/>
    <w:basedOn w:val="1"/>
    <w:qFormat/>
    <w:uiPriority w:val="0"/>
    <w:pPr>
      <w:autoSpaceDE w:val="0"/>
      <w:autoSpaceDN w:val="0"/>
      <w:spacing w:before="60" w:after="60" w:line="360" w:lineRule="atLeast"/>
      <w:ind w:left="1134" w:hanging="1134"/>
    </w:pPr>
    <w:rPr>
      <w:rFonts w:ascii="Arial" w:hAnsi="Arial"/>
      <w:sz w:val="24"/>
      <w:szCs w:val="20"/>
    </w:rPr>
  </w:style>
  <w:style w:type="character" w:customStyle="1" w:styleId="27">
    <w:name w:val="批注框文本 Char"/>
    <w:basedOn w:val="15"/>
    <w:link w:val="7"/>
    <w:qFormat/>
    <w:uiPriority w:val="0"/>
    <w:rPr>
      <w:rFonts w:ascii="Tahoma" w:hAnsi="Tahoma"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46</Pages>
  <Words>24623</Words>
  <Characters>28748</Characters>
  <Lines>86</Lines>
  <Paragraphs>24</Paragraphs>
  <TotalTime>1</TotalTime>
  <ScaleCrop>false</ScaleCrop>
  <LinksUpToDate>false</LinksUpToDate>
  <CharactersWithSpaces>29442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2022-05-22T10:31:00Z</dcterms:created>
  <dc:creator>DELL</dc:creator>
  <cp:lastModifiedBy>超儿飞扬9</cp:lastModifiedBy>
  <dcterms:modified xsi:type="dcterms:W3CDTF">2022-06-20T08:07:08Z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70CC6C0E29A148089A2F61086BFA7059</vt:lpwstr>
  </property>
</Properties>
</file>