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4C" w:rsidRDefault="00E94B4C" w:rsidP="00E94B4C">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一、项目名称：教学设备采购项目</w:t>
      </w:r>
    </w:p>
    <w:p w:rsidR="00E94B4C" w:rsidRDefault="00E94B4C" w:rsidP="00E94B4C">
      <w:pPr>
        <w:pStyle w:val="a5"/>
        <w:shd w:val="clear" w:color="auto" w:fill="FFFFFF"/>
        <w:spacing w:before="0" w:beforeAutospacing="0" w:after="300" w:afterAutospacing="0"/>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二、项目要求：</w:t>
      </w:r>
    </w:p>
    <w:tbl>
      <w:tblPr>
        <w:tblW w:w="80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2018"/>
        <w:gridCol w:w="1242"/>
        <w:gridCol w:w="400"/>
        <w:gridCol w:w="720"/>
        <w:gridCol w:w="1704"/>
        <w:gridCol w:w="1417"/>
      </w:tblGrid>
      <w:tr w:rsidR="00E94B4C" w:rsidRPr="00E94B4C" w:rsidTr="00E94B4C">
        <w:tblPrEx>
          <w:tblCellMar>
            <w:top w:w="0" w:type="dxa"/>
            <w:bottom w:w="0" w:type="dxa"/>
          </w:tblCellMar>
        </w:tblPrEx>
        <w:trPr>
          <w:trHeight w:val="730"/>
        </w:trPr>
        <w:tc>
          <w:tcPr>
            <w:tcW w:w="502" w:type="dxa"/>
            <w:vAlign w:val="center"/>
          </w:tcPr>
          <w:p w:rsidR="00E94B4C" w:rsidRPr="00E94B4C" w:rsidRDefault="00E94B4C" w:rsidP="00E94B4C">
            <w:pPr>
              <w:jc w:val="center"/>
              <w:rPr>
                <w:rFonts w:ascii="黑体" w:eastAsia="黑体" w:hAnsi="Calibri" w:cs="Times New Roman" w:hint="eastAsia"/>
                <w:sz w:val="24"/>
              </w:rPr>
            </w:pPr>
          </w:p>
        </w:tc>
        <w:tc>
          <w:tcPr>
            <w:tcW w:w="2018" w:type="dxa"/>
            <w:vAlign w:val="center"/>
          </w:tcPr>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sz w:val="24"/>
              </w:rPr>
              <w:t>轰天炮2020新款投影仪家用小型便携3D智能家庭影院卧室</w:t>
            </w:r>
            <w:proofErr w:type="gramStart"/>
            <w:r w:rsidRPr="00E94B4C">
              <w:rPr>
                <w:rFonts w:ascii="仿宋_GB2312" w:eastAsia="仿宋_GB2312" w:hAnsi="Calibri" w:cs="Times New Roman"/>
                <w:sz w:val="24"/>
              </w:rPr>
              <w:t>墙投无屏电视</w:t>
            </w:r>
            <w:proofErr w:type="gramEnd"/>
            <w:r w:rsidRPr="00E94B4C">
              <w:rPr>
                <w:rFonts w:ascii="仿宋_GB2312" w:eastAsia="仿宋_GB2312" w:hAnsi="Calibri" w:cs="Times New Roman"/>
                <w:sz w:val="24"/>
              </w:rPr>
              <w:t>4K超高清无线办公培训投影手机一体投影机</w:t>
            </w:r>
          </w:p>
        </w:tc>
        <w:tc>
          <w:tcPr>
            <w:tcW w:w="1242" w:type="dxa"/>
            <w:vAlign w:val="center"/>
          </w:tcPr>
          <w:p w:rsidR="00E94B4C" w:rsidRPr="00E94B4C" w:rsidRDefault="00E94B4C" w:rsidP="00E94B4C">
            <w:pPr>
              <w:widowControl/>
              <w:shd w:val="clear" w:color="auto" w:fill="FFFFFF"/>
              <w:jc w:val="left"/>
              <w:outlineLvl w:val="0"/>
              <w:rPr>
                <w:rFonts w:ascii="仿宋_GB2312" w:eastAsia="仿宋_GB2312" w:hAnsi="Calibri" w:cs="Times New Roman" w:hint="eastAsia"/>
                <w:sz w:val="24"/>
              </w:rPr>
            </w:pPr>
            <w:proofErr w:type="spellStart"/>
            <w:r w:rsidRPr="00E94B4C">
              <w:rPr>
                <w:rFonts w:ascii="仿宋_GB2312" w:eastAsia="仿宋_GB2312" w:hAnsi="Calibri" w:cs="Times New Roman"/>
                <w:sz w:val="24"/>
              </w:rPr>
              <w:t>Poner</w:t>
            </w:r>
            <w:proofErr w:type="spellEnd"/>
            <w:r w:rsidRPr="00E94B4C">
              <w:rPr>
                <w:rFonts w:ascii="仿宋_GB2312" w:eastAsia="仿宋_GB2312" w:hAnsi="Calibri" w:cs="Times New Roman"/>
                <w:sz w:val="24"/>
              </w:rPr>
              <w:t xml:space="preserve"> </w:t>
            </w:r>
            <w:proofErr w:type="spellStart"/>
            <w:r w:rsidRPr="00E94B4C">
              <w:rPr>
                <w:rFonts w:ascii="仿宋_GB2312" w:eastAsia="仿宋_GB2312" w:hAnsi="Calibri" w:cs="Times New Roman"/>
                <w:sz w:val="24"/>
              </w:rPr>
              <w:t>Saund</w:t>
            </w:r>
            <w:proofErr w:type="spellEnd"/>
            <w:r w:rsidRPr="00E94B4C">
              <w:rPr>
                <w:rFonts w:ascii="仿宋_GB2312" w:eastAsia="仿宋_GB2312" w:hAnsi="Calibri" w:cs="Times New Roman"/>
                <w:sz w:val="24"/>
              </w:rPr>
              <w:t>/轰天炮</w:t>
            </w:r>
          </w:p>
          <w:p w:rsidR="00E94B4C" w:rsidRPr="00E94B4C" w:rsidRDefault="00E94B4C" w:rsidP="00E94B4C">
            <w:pPr>
              <w:widowControl/>
              <w:shd w:val="clear" w:color="auto" w:fill="FFFFFF"/>
              <w:jc w:val="left"/>
              <w:outlineLvl w:val="0"/>
              <w:rPr>
                <w:rFonts w:ascii="仿宋_GB2312" w:eastAsia="仿宋_GB2312" w:hAnsi="Calibri" w:cs="Times New Roman" w:hint="eastAsia"/>
                <w:sz w:val="24"/>
              </w:rPr>
            </w:pPr>
            <w:r w:rsidRPr="00E94B4C">
              <w:rPr>
                <w:rFonts w:ascii="仿宋_GB2312" w:eastAsia="仿宋_GB2312" w:hAnsi="Calibri" w:cs="Times New Roman" w:hint="eastAsia"/>
                <w:sz w:val="24"/>
              </w:rPr>
              <w:t>含72寸简易幕布</w:t>
            </w:r>
          </w:p>
        </w:tc>
        <w:tc>
          <w:tcPr>
            <w:tcW w:w="400" w:type="dxa"/>
            <w:vAlign w:val="center"/>
          </w:tcPr>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台</w:t>
            </w:r>
          </w:p>
        </w:tc>
        <w:tc>
          <w:tcPr>
            <w:tcW w:w="720" w:type="dxa"/>
            <w:vAlign w:val="center"/>
          </w:tcPr>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10</w:t>
            </w:r>
          </w:p>
        </w:tc>
        <w:tc>
          <w:tcPr>
            <w:tcW w:w="1704" w:type="dxa"/>
            <w:vAlign w:val="center"/>
          </w:tcPr>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教室增加用</w:t>
            </w:r>
          </w:p>
        </w:tc>
        <w:tc>
          <w:tcPr>
            <w:tcW w:w="1417" w:type="dxa"/>
            <w:vAlign w:val="center"/>
          </w:tcPr>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东206</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东209</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东306</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东409</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东506</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东509</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西209</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西309</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西409</w:t>
            </w:r>
          </w:p>
          <w:p w:rsidR="00E94B4C" w:rsidRPr="00E94B4C" w:rsidRDefault="00E94B4C" w:rsidP="00E94B4C">
            <w:pPr>
              <w:jc w:val="center"/>
              <w:rPr>
                <w:rFonts w:ascii="仿宋_GB2312" w:eastAsia="仿宋_GB2312" w:hAnsi="Calibri" w:cs="Times New Roman" w:hint="eastAsia"/>
                <w:sz w:val="24"/>
              </w:rPr>
            </w:pPr>
            <w:r w:rsidRPr="00E94B4C">
              <w:rPr>
                <w:rFonts w:ascii="仿宋_GB2312" w:eastAsia="仿宋_GB2312" w:hAnsi="Calibri" w:cs="Times New Roman" w:hint="eastAsia"/>
                <w:sz w:val="24"/>
              </w:rPr>
              <w:t>西509</w:t>
            </w:r>
          </w:p>
        </w:tc>
      </w:tr>
    </w:tbl>
    <w:p w:rsidR="00E94B4C" w:rsidRPr="00E94B4C" w:rsidRDefault="00E94B4C" w:rsidP="00E94B4C">
      <w:pPr>
        <w:pStyle w:val="a5"/>
        <w:shd w:val="clear" w:color="auto" w:fill="FFFFFF"/>
        <w:spacing w:before="0" w:beforeAutospacing="0" w:after="300" w:afterAutospacing="0"/>
        <w:ind w:firstLine="615"/>
        <w:textAlignment w:val="baseline"/>
        <w:rPr>
          <w:rStyle w:val="a6"/>
          <w:color w:val="333333"/>
          <w:bdr w:val="none" w:sz="0" w:space="0" w:color="auto" w:frame="1"/>
        </w:rPr>
      </w:pPr>
    </w:p>
    <w:p w:rsidR="00E94B4C" w:rsidRDefault="00E94B4C" w:rsidP="00E94B4C">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E94B4C" w:rsidRDefault="00E94B4C" w:rsidP="00E94B4C">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本想需现场查看</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投标文件分两个部分，第一个部分：  1、投标人资质证明文件复印件（加盖单位公章），包括营业执照、税务登记证等。2．递交相关质量保证承诺、服务承诺书及服务责任人。3．投标人认为需加以补充或说明的其它内容。</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（一）投标截止时间：2021年9月22日下午2时前。</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E94B4C" w:rsidRDefault="00E94B4C" w:rsidP="00E94B4C">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（一）开标时间：2021年9月22日下午2点</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1．评标小组先集体审查投标文件，看是否与招标文件的所有实质性条款、条件和规定相符。</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1.中标人从收到中标通知的五日内携带大屏厂家出具的配件原厂证明材料与招标人签订合同，因中标单位无法提供原厂出具证明材料的则将取消中标资格。</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E94B4C" w:rsidRDefault="00E94B4C" w:rsidP="00E94B4C">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E94B4C" w:rsidRDefault="00E94B4C" w:rsidP="00E94B4C">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lastRenderedPageBreak/>
        <w:t>南通工贸技师学院</w:t>
      </w:r>
    </w:p>
    <w:p w:rsidR="00E94B4C" w:rsidRDefault="00E94B4C" w:rsidP="00E94B4C">
      <w:pPr>
        <w:pStyle w:val="a5"/>
        <w:shd w:val="clear" w:color="auto" w:fill="FFFFFF"/>
        <w:spacing w:before="0" w:beforeAutospacing="0" w:after="300" w:afterAutospacing="0"/>
        <w:jc w:val="right"/>
        <w:textAlignment w:val="baseline"/>
        <w:rPr>
          <w:color w:val="333333"/>
          <w:bdr w:val="none" w:sz="0" w:space="0" w:color="auto" w:frame="1"/>
        </w:rPr>
      </w:pPr>
    </w:p>
    <w:p w:rsidR="00E94B4C" w:rsidRDefault="00E94B4C" w:rsidP="00E94B4C">
      <w:pPr>
        <w:pStyle w:val="a5"/>
        <w:shd w:val="clear" w:color="auto" w:fill="FFFFFF"/>
        <w:spacing w:before="0" w:beforeAutospacing="0" w:after="300" w:afterAutospacing="0"/>
        <w:jc w:val="right"/>
        <w:textAlignment w:val="baseline"/>
        <w:rPr>
          <w:color w:val="333333"/>
          <w:bdr w:val="none" w:sz="0" w:space="0" w:color="auto" w:frame="1"/>
        </w:rPr>
      </w:pPr>
    </w:p>
    <w:p w:rsidR="00E94B4C" w:rsidRDefault="00E94B4C" w:rsidP="00E94B4C">
      <w:pPr>
        <w:pStyle w:val="a5"/>
        <w:shd w:val="clear" w:color="auto" w:fill="FFFFFF"/>
        <w:spacing w:before="0" w:beforeAutospacing="0" w:after="300" w:afterAutospacing="0"/>
        <w:jc w:val="right"/>
        <w:textAlignment w:val="baseline"/>
        <w:rPr>
          <w:color w:val="333333"/>
          <w:bdr w:val="none" w:sz="0" w:space="0" w:color="auto" w:frame="1"/>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hint="eastAsia"/>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hint="eastAsia"/>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hint="eastAsia"/>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hint="eastAsia"/>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hint="eastAsia"/>
          <w:color w:val="333333"/>
        </w:rPr>
      </w:pPr>
    </w:p>
    <w:p w:rsidR="00E94B4C" w:rsidRDefault="00E94B4C" w:rsidP="00E94B4C">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E94B4C" w:rsidRDefault="00E94B4C" w:rsidP="00E94B4C">
      <w:pPr>
        <w:snapToGrid w:val="0"/>
        <w:spacing w:line="300" w:lineRule="auto"/>
        <w:rPr>
          <w:rFonts w:ascii="宋体" w:eastAsia="宋体" w:hAnsi="宋体" w:cs="Times New Roman" w:hint="eastAsia"/>
          <w:b/>
          <w:sz w:val="28"/>
          <w:szCs w:val="28"/>
        </w:rPr>
      </w:pPr>
    </w:p>
    <w:p w:rsidR="00E94B4C" w:rsidRDefault="00E94B4C" w:rsidP="00E94B4C">
      <w:pPr>
        <w:snapToGrid w:val="0"/>
        <w:spacing w:line="300" w:lineRule="auto"/>
        <w:rPr>
          <w:rFonts w:ascii="宋体" w:eastAsia="宋体" w:hAnsi="宋体" w:cs="Times New Roman" w:hint="eastAsia"/>
          <w:b/>
          <w:sz w:val="28"/>
          <w:szCs w:val="28"/>
        </w:rPr>
      </w:pPr>
    </w:p>
    <w:p w:rsidR="00E94B4C" w:rsidRDefault="00E94B4C" w:rsidP="00E94B4C">
      <w:pPr>
        <w:snapToGrid w:val="0"/>
        <w:spacing w:line="300" w:lineRule="auto"/>
        <w:rPr>
          <w:rFonts w:ascii="宋体" w:eastAsia="宋体" w:hAnsi="宋体" w:cs="Times New Roman" w:hint="eastAsia"/>
          <w:b/>
          <w:sz w:val="28"/>
          <w:szCs w:val="28"/>
        </w:rPr>
      </w:pPr>
    </w:p>
    <w:p w:rsidR="00E94B4C" w:rsidRDefault="00E94B4C" w:rsidP="00E94B4C">
      <w:pPr>
        <w:snapToGrid w:val="0"/>
        <w:spacing w:line="300" w:lineRule="auto"/>
        <w:rPr>
          <w:rFonts w:ascii="宋体" w:eastAsia="宋体" w:hAnsi="宋体" w:cs="Times New Roman" w:hint="eastAsia"/>
          <w:b/>
          <w:sz w:val="28"/>
          <w:szCs w:val="28"/>
        </w:rPr>
      </w:pPr>
    </w:p>
    <w:p w:rsidR="00E94B4C" w:rsidRDefault="00E94B4C" w:rsidP="00E94B4C">
      <w:pPr>
        <w:snapToGrid w:val="0"/>
        <w:spacing w:line="300" w:lineRule="auto"/>
        <w:rPr>
          <w:rFonts w:ascii="宋体" w:eastAsia="宋体" w:hAnsi="宋体" w:cs="Times New Roman" w:hint="eastAsia"/>
          <w:b/>
          <w:sz w:val="28"/>
          <w:szCs w:val="28"/>
        </w:rPr>
      </w:pPr>
    </w:p>
    <w:p w:rsidR="00E94B4C" w:rsidRPr="00B54420" w:rsidRDefault="00E94B4C" w:rsidP="00E94B4C">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E94B4C" w:rsidRDefault="00E94B4C" w:rsidP="00E94B4C">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E94B4C" w:rsidRPr="00B54420" w:rsidRDefault="00E94B4C" w:rsidP="00E94B4C">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教室多媒体设备维修项目</w:t>
      </w:r>
      <w:r w:rsidRPr="00B54420">
        <w:rPr>
          <w:rFonts w:ascii="宋体" w:eastAsia="宋体" w:hAnsi="宋体" w:cs="Times New Roman" w:hint="eastAsia"/>
          <w:b/>
          <w:sz w:val="30"/>
          <w:szCs w:val="30"/>
        </w:rPr>
        <w:t>报价单</w:t>
      </w:r>
    </w:p>
    <w:p w:rsidR="00E94B4C" w:rsidRPr="00B54420" w:rsidRDefault="00E94B4C" w:rsidP="00E94B4C">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GM20210049</w:t>
      </w:r>
    </w:p>
    <w:p w:rsidR="00E94B4C" w:rsidRPr="00B54420" w:rsidRDefault="00E94B4C" w:rsidP="00E94B4C">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E94B4C" w:rsidRPr="00B54420" w:rsidTr="007A22D2">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E94B4C" w:rsidRPr="00B54420" w:rsidRDefault="00E94B4C" w:rsidP="007A22D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4B4C" w:rsidRPr="00B54420" w:rsidRDefault="00E94B4C" w:rsidP="007A22D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94B4C" w:rsidRPr="00B54420" w:rsidRDefault="00E94B4C" w:rsidP="007A22D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E94B4C" w:rsidRPr="00B54420" w:rsidRDefault="00E94B4C" w:rsidP="007A22D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E94B4C" w:rsidRPr="00B54420" w:rsidTr="007A22D2">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E94B4C" w:rsidRPr="00B54420" w:rsidRDefault="00E94B4C" w:rsidP="007A22D2">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4B4C" w:rsidRPr="00B54420" w:rsidRDefault="00E94B4C" w:rsidP="007A22D2">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教学设备采购项目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E94B4C" w:rsidRPr="00B54420" w:rsidRDefault="00E94B4C" w:rsidP="007A22D2">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E94B4C" w:rsidRPr="00B54420" w:rsidRDefault="00E94B4C" w:rsidP="007A22D2">
            <w:pPr>
              <w:spacing w:line="400" w:lineRule="exact"/>
              <w:ind w:firstLineChars="200" w:firstLine="480"/>
              <w:jc w:val="center"/>
              <w:rPr>
                <w:rFonts w:ascii="宋体" w:eastAsia="宋体" w:hAnsi="宋体" w:cs="仿宋_GB2312"/>
                <w:sz w:val="24"/>
              </w:rPr>
            </w:pPr>
          </w:p>
        </w:tc>
      </w:tr>
    </w:tbl>
    <w:p w:rsidR="00E94B4C" w:rsidRPr="00B54420" w:rsidRDefault="00E94B4C" w:rsidP="00E94B4C">
      <w:pPr>
        <w:snapToGrid w:val="0"/>
        <w:spacing w:line="440" w:lineRule="exact"/>
        <w:rPr>
          <w:rFonts w:ascii="宋体" w:eastAsia="宋体" w:hAnsi="宋体" w:cs="Times New Roman"/>
          <w:sz w:val="28"/>
          <w:u w:val="single"/>
        </w:rPr>
      </w:pPr>
    </w:p>
    <w:p w:rsidR="00E94B4C" w:rsidRPr="00B54420" w:rsidRDefault="00E94B4C" w:rsidP="00E94B4C">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E94B4C" w:rsidRPr="00B54420" w:rsidRDefault="00E94B4C" w:rsidP="00E94B4C">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E94B4C" w:rsidRPr="00B54420" w:rsidRDefault="00E94B4C" w:rsidP="00E94B4C">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E94B4C" w:rsidRPr="00B54420" w:rsidRDefault="00E94B4C" w:rsidP="00E94B4C">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E94B4C" w:rsidRPr="00B54420" w:rsidRDefault="00E94B4C" w:rsidP="00E94B4C">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E94B4C" w:rsidRPr="00B54420" w:rsidRDefault="00E94B4C" w:rsidP="00E94B4C">
      <w:pPr>
        <w:rPr>
          <w:rFonts w:ascii="Times New Roman" w:eastAsia="宋体" w:hAnsi="Times New Roman" w:cs="Times New Roman"/>
          <w:szCs w:val="24"/>
        </w:rPr>
      </w:pPr>
    </w:p>
    <w:p w:rsidR="00E94B4C" w:rsidRDefault="00E94B4C" w:rsidP="00E94B4C">
      <w:pPr>
        <w:rPr>
          <w:rFonts w:ascii="Times New Roman" w:eastAsia="宋体" w:hAnsi="Times New Roman" w:cs="Times New Roman"/>
          <w:szCs w:val="24"/>
        </w:rPr>
      </w:pPr>
    </w:p>
    <w:p w:rsidR="00E94B4C" w:rsidRPr="00B54420" w:rsidRDefault="00E94B4C" w:rsidP="00E94B4C">
      <w:pPr>
        <w:rPr>
          <w:rFonts w:ascii="Times New Roman" w:eastAsia="宋体" w:hAnsi="Times New Roman" w:cs="Times New Roman"/>
          <w:szCs w:val="24"/>
        </w:rPr>
      </w:pPr>
    </w:p>
    <w:p w:rsidR="00E94B4C" w:rsidRPr="00B54420" w:rsidRDefault="00E94B4C" w:rsidP="00E94B4C">
      <w:pPr>
        <w:rPr>
          <w:rFonts w:ascii="Times New Roman" w:eastAsia="宋体" w:hAnsi="Times New Roman" w:cs="Times New Roman"/>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Default="00E94B4C" w:rsidP="00E94B4C">
      <w:pPr>
        <w:spacing w:line="440" w:lineRule="exact"/>
        <w:rPr>
          <w:rFonts w:ascii="宋体" w:eastAsia="宋体" w:hAnsi="宋体" w:cs="Times New Roman"/>
          <w:b/>
          <w:sz w:val="28"/>
          <w:szCs w:val="24"/>
        </w:rPr>
      </w:pPr>
    </w:p>
    <w:p w:rsidR="00E94B4C" w:rsidRPr="00B54420" w:rsidRDefault="00E94B4C" w:rsidP="00E94B4C">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lastRenderedPageBreak/>
        <w:t>附件二：</w:t>
      </w:r>
      <w:r w:rsidRPr="00B54420">
        <w:rPr>
          <w:rFonts w:ascii="宋体" w:eastAsia="宋体" w:hAnsi="宋体" w:cs="Times New Roman" w:hint="eastAsia"/>
          <w:b/>
          <w:sz w:val="28"/>
          <w:szCs w:val="28"/>
        </w:rPr>
        <w:t>报价承诺书</w:t>
      </w:r>
    </w:p>
    <w:p w:rsidR="00E94B4C" w:rsidRPr="00B54420" w:rsidRDefault="00E94B4C" w:rsidP="00E94B4C">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E94B4C" w:rsidRPr="00B54420" w:rsidRDefault="00E94B4C" w:rsidP="00E94B4C">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E94B4C" w:rsidRPr="00B54420" w:rsidRDefault="00E94B4C" w:rsidP="00E94B4C">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b/>
          <w:sz w:val="28"/>
          <w:szCs w:val="28"/>
          <w:u w:val="single"/>
        </w:rPr>
        <w:t xml:space="preserve"> </w:t>
      </w:r>
      <w:r>
        <w:rPr>
          <w:rFonts w:ascii="宋体" w:eastAsia="宋体" w:hAnsi="宋体" w:cs="Times New Roman" w:hint="eastAsia"/>
          <w:b/>
          <w:sz w:val="28"/>
          <w:szCs w:val="28"/>
          <w:u w:val="single"/>
        </w:rPr>
        <w:t>GM20210049</w:t>
      </w:r>
      <w:r w:rsidRPr="00B54420">
        <w:rPr>
          <w:rFonts w:ascii="宋体" w:eastAsia="宋体" w:hAnsi="宋体" w:cs="Times New Roman" w:hint="eastAsia"/>
          <w:sz w:val="28"/>
          <w:szCs w:val="28"/>
        </w:rPr>
        <w:t>询价的有关活动，并宣布同意如下：</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E94B4C" w:rsidRPr="00B54420" w:rsidRDefault="00E94B4C" w:rsidP="00E94B4C">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E94B4C" w:rsidRPr="00B54420" w:rsidRDefault="00E94B4C" w:rsidP="00E94B4C">
      <w:pPr>
        <w:spacing w:line="500" w:lineRule="exact"/>
        <w:ind w:firstLineChars="200" w:firstLine="560"/>
        <w:rPr>
          <w:rFonts w:ascii="宋体" w:eastAsia="宋体" w:hAnsi="宋体" w:cs="Times New Roman"/>
          <w:sz w:val="28"/>
          <w:szCs w:val="28"/>
        </w:rPr>
      </w:pPr>
    </w:p>
    <w:p w:rsidR="00E94B4C" w:rsidRPr="00B54420" w:rsidRDefault="00E94B4C" w:rsidP="00E94B4C">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E94B4C" w:rsidRPr="00B54420" w:rsidRDefault="00E94B4C" w:rsidP="00E94B4C">
      <w:pPr>
        <w:rPr>
          <w:rFonts w:ascii="Calibri" w:eastAsia="宋体" w:hAnsi="Calibri" w:cs="Times New Roman"/>
        </w:rPr>
      </w:pPr>
    </w:p>
    <w:p w:rsidR="00E94B4C" w:rsidRPr="00B54420" w:rsidRDefault="00E94B4C" w:rsidP="00E94B4C">
      <w:pPr>
        <w:rPr>
          <w:rFonts w:ascii="Times New Roman" w:eastAsia="宋体" w:hAnsi="Times New Roman" w:cs="Times New Roman"/>
          <w:szCs w:val="24"/>
        </w:rPr>
      </w:pPr>
    </w:p>
    <w:p w:rsidR="00E94B4C" w:rsidRPr="00B54420" w:rsidRDefault="00E94B4C" w:rsidP="00E94B4C">
      <w:pPr>
        <w:jc w:val="center"/>
        <w:rPr>
          <w:rFonts w:ascii="Times New Roman" w:eastAsia="宋体" w:hAnsi="Times New Roman" w:cs="Times New Roman"/>
          <w:sz w:val="44"/>
          <w:szCs w:val="44"/>
        </w:rPr>
      </w:pPr>
    </w:p>
    <w:p w:rsidR="00E94B4C" w:rsidRDefault="00E94B4C" w:rsidP="00E94B4C"/>
    <w:p w:rsidR="00E94B4C" w:rsidRDefault="00E94B4C" w:rsidP="00E94B4C"/>
    <w:p w:rsidR="00E94B4C" w:rsidRDefault="00E94B4C" w:rsidP="00E94B4C"/>
    <w:p w:rsidR="007353ED" w:rsidRDefault="00181EC3"/>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EC3" w:rsidRDefault="00181EC3" w:rsidP="00E94B4C">
      <w:r>
        <w:separator/>
      </w:r>
    </w:p>
  </w:endnote>
  <w:endnote w:type="continuationSeparator" w:id="0">
    <w:p w:rsidR="00181EC3" w:rsidRDefault="00181EC3" w:rsidP="00E94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EC3" w:rsidRDefault="00181EC3" w:rsidP="00E94B4C">
      <w:r>
        <w:separator/>
      </w:r>
    </w:p>
  </w:footnote>
  <w:footnote w:type="continuationSeparator" w:id="0">
    <w:p w:rsidR="00181EC3" w:rsidRDefault="00181EC3" w:rsidP="00E94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B4C"/>
    <w:rsid w:val="000D770A"/>
    <w:rsid w:val="00181EC3"/>
    <w:rsid w:val="00456D87"/>
    <w:rsid w:val="006A3B1A"/>
    <w:rsid w:val="00813D74"/>
    <w:rsid w:val="008A06BD"/>
    <w:rsid w:val="00E94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4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4B4C"/>
    <w:rPr>
      <w:sz w:val="18"/>
      <w:szCs w:val="18"/>
    </w:rPr>
  </w:style>
  <w:style w:type="paragraph" w:styleId="a4">
    <w:name w:val="footer"/>
    <w:basedOn w:val="a"/>
    <w:link w:val="Char0"/>
    <w:uiPriority w:val="99"/>
    <w:semiHidden/>
    <w:unhideWhenUsed/>
    <w:rsid w:val="00E94B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4B4C"/>
    <w:rPr>
      <w:sz w:val="18"/>
      <w:szCs w:val="18"/>
    </w:rPr>
  </w:style>
  <w:style w:type="paragraph" w:styleId="a5">
    <w:name w:val="Normal (Web)"/>
    <w:basedOn w:val="a"/>
    <w:uiPriority w:val="99"/>
    <w:unhideWhenUsed/>
    <w:rsid w:val="00E94B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4B4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2021-09-17T01:13:00Z</dcterms:created>
  <dcterms:modified xsi:type="dcterms:W3CDTF">2021-09-17T01:17:00Z</dcterms:modified>
</cp:coreProperties>
</file>