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EF" w:rsidRPr="00C345EF" w:rsidRDefault="00C345EF" w:rsidP="00C345EF">
      <w:pPr>
        <w:widowControl/>
        <w:shd w:val="clear" w:color="auto" w:fill="FFFFFF"/>
        <w:spacing w:line="840" w:lineRule="atLeast"/>
        <w:jc w:val="center"/>
        <w:outlineLvl w:val="0"/>
        <w:rPr>
          <w:rFonts w:ascii="微软雅黑" w:eastAsia="微软雅黑" w:hAnsi="微软雅黑" w:cs="宋体"/>
          <w:color w:val="333333"/>
          <w:kern w:val="36"/>
          <w:sz w:val="57"/>
          <w:szCs w:val="57"/>
        </w:rPr>
      </w:pPr>
      <w:bookmarkStart w:id="0" w:name="_GoBack"/>
      <w:r w:rsidRPr="00C345EF">
        <w:rPr>
          <w:rFonts w:ascii="微软雅黑" w:eastAsia="微软雅黑" w:hAnsi="微软雅黑" w:cs="宋体" w:hint="eastAsia"/>
          <w:color w:val="333333"/>
          <w:kern w:val="36"/>
          <w:sz w:val="57"/>
          <w:szCs w:val="57"/>
        </w:rPr>
        <w:t>中共中央办公厅 国务院办公厅印发《关于提高技术工人待遇的意见》</w:t>
      </w:r>
      <w:bookmarkEnd w:id="0"/>
    </w:p>
    <w:p w:rsidR="00C345EF" w:rsidRPr="00C345EF" w:rsidRDefault="00C345EF" w:rsidP="00C345EF">
      <w:pPr>
        <w:widowControl/>
        <w:shd w:val="clear" w:color="auto" w:fill="FFFFFF"/>
        <w:jc w:val="center"/>
        <w:rPr>
          <w:rFonts w:ascii="宋体" w:eastAsia="宋体" w:hAnsi="宋体" w:cs="宋体" w:hint="eastAsia"/>
          <w:color w:val="898989"/>
          <w:kern w:val="0"/>
          <w:szCs w:val="21"/>
        </w:rPr>
      </w:pPr>
      <w:hyperlink r:id="rId5" w:tooltip="微信" w:history="1">
        <w:r w:rsidRPr="00C345EF">
          <w:rPr>
            <w:rFonts w:ascii="宋体" w:eastAsia="宋体" w:hAnsi="宋体" w:cs="宋体" w:hint="eastAsia"/>
            <w:color w:val="000000"/>
            <w:kern w:val="0"/>
            <w:szCs w:val="21"/>
          </w:rPr>
          <w:t> </w:t>
        </w:r>
      </w:hyperlink>
      <w:hyperlink r:id="rId6" w:tooltip="新浪微博" w:history="1">
        <w:r w:rsidRPr="00C345EF">
          <w:rPr>
            <w:rFonts w:ascii="宋体" w:eastAsia="宋体" w:hAnsi="宋体" w:cs="宋体" w:hint="eastAsia"/>
            <w:color w:val="000000"/>
            <w:kern w:val="0"/>
            <w:szCs w:val="21"/>
          </w:rPr>
          <w:t> </w:t>
        </w:r>
      </w:hyperlink>
      <w:r w:rsidRPr="00C345EF">
        <w:rPr>
          <w:rFonts w:ascii="宋体" w:eastAsia="宋体" w:hAnsi="宋体" w:cs="宋体" w:hint="eastAsia"/>
          <w:color w:val="898989"/>
          <w:kern w:val="0"/>
          <w:szCs w:val="21"/>
        </w:rPr>
        <w:t> </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为落实《新时期产业工人队伍建设改革方案》，创新技能导向的激励机制，进一步鼓励辛勤劳动、诚实劳动、创造性劳动，增强生产服务一线岗位对劳动者吸引力，建设知识型、技能型、创新型劳动者大军，营造劳动光荣的社会风尚和精益求精的敬业风气，现就提高技术工人待遇提出如下意见。</w:t>
      </w:r>
    </w:p>
    <w:p w:rsidR="00C345EF" w:rsidRPr="00C345EF" w:rsidRDefault="00C345EF" w:rsidP="00C345E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b/>
          <w:bCs/>
          <w:color w:val="333333"/>
          <w:kern w:val="0"/>
          <w:sz w:val="24"/>
          <w:szCs w:val="24"/>
        </w:rPr>
        <w:t>一、指导思想</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全面贯彻党的十九大精神，以习近平新时代中国特色社会主义思想为指导，紧紧围绕统筹推进“五位一体”总体布局和协调推进“四个全面”战略布局，牢固树立和贯彻落实新发展理念，坚持以人民为中心的发展思想，坚持全心全意依靠工人阶级的方针，充分发挥政府、企业、社会的协同作用，完善技术工人培养、评价、使用、激励、保障等措施，实现技高者多得、多劳者多得，增强技术工人获得感、自豪感、荣誉感，激发技术工人积极性、主动性、创造性，为实施人才强国战略和创新驱动发展战略，实现“两个一百年”奋斗目标、实现中华民族伟大复兴的中国梦，提供坚实的人才保障。</w:t>
      </w:r>
    </w:p>
    <w:p w:rsidR="00C345EF" w:rsidRPr="00C345EF" w:rsidRDefault="00C345EF" w:rsidP="00C345E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b/>
          <w:bCs/>
          <w:color w:val="333333"/>
          <w:kern w:val="0"/>
          <w:sz w:val="24"/>
          <w:szCs w:val="24"/>
        </w:rPr>
        <w:t>二、基本原则</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——加强领导，形成合力。坚持党</w:t>
      </w:r>
      <w:proofErr w:type="gramStart"/>
      <w:r w:rsidRPr="00C345EF">
        <w:rPr>
          <w:rFonts w:ascii="宋体" w:eastAsia="宋体" w:hAnsi="宋体" w:cs="宋体" w:hint="eastAsia"/>
          <w:color w:val="333333"/>
          <w:kern w:val="0"/>
          <w:sz w:val="24"/>
          <w:szCs w:val="24"/>
        </w:rPr>
        <w:t>管人才</w:t>
      </w:r>
      <w:proofErr w:type="gramEnd"/>
      <w:r w:rsidRPr="00C345EF">
        <w:rPr>
          <w:rFonts w:ascii="宋体" w:eastAsia="宋体" w:hAnsi="宋体" w:cs="宋体" w:hint="eastAsia"/>
          <w:color w:val="333333"/>
          <w:kern w:val="0"/>
          <w:sz w:val="24"/>
          <w:szCs w:val="24"/>
        </w:rPr>
        <w:t>原则，充分发挥市场在资源配置中的决定性作用，更好发挥政府作用，进一步增强企业主体作用、工会监督作用、群团组织动员作用和社会支持作用，完善多方参与的工作体系，形成齐抓共促的工作格局。</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——重点突破，多</w:t>
      </w:r>
      <w:proofErr w:type="gramStart"/>
      <w:r w:rsidRPr="00C345EF">
        <w:rPr>
          <w:rFonts w:ascii="宋体" w:eastAsia="宋体" w:hAnsi="宋体" w:cs="宋体" w:hint="eastAsia"/>
          <w:color w:val="333333"/>
          <w:kern w:val="0"/>
          <w:sz w:val="24"/>
          <w:szCs w:val="24"/>
        </w:rPr>
        <w:t>措</w:t>
      </w:r>
      <w:proofErr w:type="gramEnd"/>
      <w:r w:rsidRPr="00C345EF">
        <w:rPr>
          <w:rFonts w:ascii="宋体" w:eastAsia="宋体" w:hAnsi="宋体" w:cs="宋体" w:hint="eastAsia"/>
          <w:color w:val="333333"/>
          <w:kern w:val="0"/>
          <w:sz w:val="24"/>
          <w:szCs w:val="24"/>
        </w:rPr>
        <w:t>并举。以为国家</w:t>
      </w:r>
      <w:proofErr w:type="gramStart"/>
      <w:r w:rsidRPr="00C345EF">
        <w:rPr>
          <w:rFonts w:ascii="宋体" w:eastAsia="宋体" w:hAnsi="宋体" w:cs="宋体" w:hint="eastAsia"/>
          <w:color w:val="333333"/>
          <w:kern w:val="0"/>
          <w:sz w:val="24"/>
          <w:szCs w:val="24"/>
        </w:rPr>
        <w:t>作出</w:t>
      </w:r>
      <w:proofErr w:type="gramEnd"/>
      <w:r w:rsidRPr="00C345EF">
        <w:rPr>
          <w:rFonts w:ascii="宋体" w:eastAsia="宋体" w:hAnsi="宋体" w:cs="宋体" w:hint="eastAsia"/>
          <w:color w:val="333333"/>
          <w:kern w:val="0"/>
          <w:sz w:val="24"/>
          <w:szCs w:val="24"/>
        </w:rPr>
        <w:t>突出贡献的高技能领军人才为重点支持对象，着力提高技术工人收入水平，完善工资正常增长机制，拓宽收入渠道，加大培养培训力度，强化评价使用激励，优化社会环境，全面改善技术工人待遇水平。</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lastRenderedPageBreak/>
        <w:t>——立足当前，着眼长远。加强政策引导，着力改变技术工人社会地位偏低现状，促进广大技术工人爱岗敬业；坚持长期稳定支持，不断营造良好社会氛围，让全体技术工人焕发劳动热情，释放创造潜能，创造更加美好的生活。</w:t>
      </w:r>
    </w:p>
    <w:p w:rsidR="00C345EF" w:rsidRPr="00C345EF" w:rsidRDefault="00C345EF" w:rsidP="00C345E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b/>
          <w:bCs/>
          <w:color w:val="333333"/>
          <w:kern w:val="0"/>
          <w:sz w:val="24"/>
          <w:szCs w:val="24"/>
        </w:rPr>
        <w:t>三、突出“高精尖缺”导向，大力提高</w:t>
      </w:r>
      <w:proofErr w:type="gramStart"/>
      <w:r w:rsidRPr="00C345EF">
        <w:rPr>
          <w:rFonts w:ascii="宋体" w:eastAsia="宋体" w:hAnsi="宋体" w:cs="宋体" w:hint="eastAsia"/>
          <w:b/>
          <w:bCs/>
          <w:color w:val="333333"/>
          <w:kern w:val="0"/>
          <w:sz w:val="24"/>
          <w:szCs w:val="24"/>
        </w:rPr>
        <w:t>高</w:t>
      </w:r>
      <w:proofErr w:type="gramEnd"/>
      <w:r w:rsidRPr="00C345EF">
        <w:rPr>
          <w:rFonts w:ascii="宋体" w:eastAsia="宋体" w:hAnsi="宋体" w:cs="宋体" w:hint="eastAsia"/>
          <w:b/>
          <w:bCs/>
          <w:color w:val="333333"/>
          <w:kern w:val="0"/>
          <w:sz w:val="24"/>
          <w:szCs w:val="24"/>
        </w:rPr>
        <w:t>技能领军人才待遇水平</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（一）全面加强对高技能领军人才的服务保障。对为国家经济发展和重大战略实施</w:t>
      </w:r>
      <w:proofErr w:type="gramStart"/>
      <w:r w:rsidRPr="00C345EF">
        <w:rPr>
          <w:rFonts w:ascii="宋体" w:eastAsia="宋体" w:hAnsi="宋体" w:cs="宋体" w:hint="eastAsia"/>
          <w:color w:val="333333"/>
          <w:kern w:val="0"/>
          <w:sz w:val="24"/>
          <w:szCs w:val="24"/>
        </w:rPr>
        <w:t>作出</w:t>
      </w:r>
      <w:proofErr w:type="gramEnd"/>
      <w:r w:rsidRPr="00C345EF">
        <w:rPr>
          <w:rFonts w:ascii="宋体" w:eastAsia="宋体" w:hAnsi="宋体" w:cs="宋体" w:hint="eastAsia"/>
          <w:color w:val="333333"/>
          <w:kern w:val="0"/>
          <w:sz w:val="24"/>
          <w:szCs w:val="24"/>
        </w:rPr>
        <w:t>突出贡献，具有高超技艺技能和一流业绩水平，并长期坚守在生产服务一线岗位工作的高技能领军人才，全面采取措施，切实加强服务保障和提高待遇水平。高技能领军人才包括获得全国劳动模范、全国五一劳动奖章、中华技能大奖、全国技术能手等荣誉以及享受省级以上政府特殊津贴的人员，或各省（自治区、直辖市）政府认定的“高精尖缺”高技能人才。各地要设立高技能领军人才服务窗口，负责协调落实相关待遇政策，并结合实际制定支持政策。</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（二）提高</w:t>
      </w:r>
      <w:proofErr w:type="gramStart"/>
      <w:r w:rsidRPr="00C345EF">
        <w:rPr>
          <w:rFonts w:ascii="宋体" w:eastAsia="宋体" w:hAnsi="宋体" w:cs="宋体" w:hint="eastAsia"/>
          <w:color w:val="333333"/>
          <w:kern w:val="0"/>
          <w:sz w:val="24"/>
          <w:szCs w:val="24"/>
        </w:rPr>
        <w:t>高</w:t>
      </w:r>
      <w:proofErr w:type="gramEnd"/>
      <w:r w:rsidRPr="00C345EF">
        <w:rPr>
          <w:rFonts w:ascii="宋体" w:eastAsia="宋体" w:hAnsi="宋体" w:cs="宋体" w:hint="eastAsia"/>
          <w:color w:val="333333"/>
          <w:kern w:val="0"/>
          <w:sz w:val="24"/>
          <w:szCs w:val="24"/>
        </w:rPr>
        <w:t>技能领军人才的政治待遇。探索实行高技能领军人才在工会等群团组织中挂职和兼职，纳入党委联系专家范围。鼓励行业主管部门、群团组织、行业协会、企业及社会各方面力量，以多种方式对高技能领军人才进行特殊奖励。定期组织高技能领军</w:t>
      </w:r>
      <w:proofErr w:type="gramStart"/>
      <w:r w:rsidRPr="00C345EF">
        <w:rPr>
          <w:rFonts w:ascii="宋体" w:eastAsia="宋体" w:hAnsi="宋体" w:cs="宋体" w:hint="eastAsia"/>
          <w:color w:val="333333"/>
          <w:kern w:val="0"/>
          <w:sz w:val="24"/>
          <w:szCs w:val="24"/>
        </w:rPr>
        <w:t>人才国情</w:t>
      </w:r>
      <w:proofErr w:type="gramEnd"/>
      <w:r w:rsidRPr="00C345EF">
        <w:rPr>
          <w:rFonts w:ascii="宋体" w:eastAsia="宋体" w:hAnsi="宋体" w:cs="宋体" w:hint="eastAsia"/>
          <w:color w:val="333333"/>
          <w:kern w:val="0"/>
          <w:sz w:val="24"/>
          <w:szCs w:val="24"/>
        </w:rPr>
        <w:t>研修考察、面向社会进行咨询服务等活动。鼓励企业吸纳高技能领军人才参与经营管理决策，适当提高其在职工代表大会中的比例。</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（三）提高</w:t>
      </w:r>
      <w:proofErr w:type="gramStart"/>
      <w:r w:rsidRPr="00C345EF">
        <w:rPr>
          <w:rFonts w:ascii="宋体" w:eastAsia="宋体" w:hAnsi="宋体" w:cs="宋体" w:hint="eastAsia"/>
          <w:color w:val="333333"/>
          <w:kern w:val="0"/>
          <w:sz w:val="24"/>
          <w:szCs w:val="24"/>
        </w:rPr>
        <w:t>高</w:t>
      </w:r>
      <w:proofErr w:type="gramEnd"/>
      <w:r w:rsidRPr="00C345EF">
        <w:rPr>
          <w:rFonts w:ascii="宋体" w:eastAsia="宋体" w:hAnsi="宋体" w:cs="宋体" w:hint="eastAsia"/>
          <w:color w:val="333333"/>
          <w:kern w:val="0"/>
          <w:sz w:val="24"/>
          <w:szCs w:val="24"/>
        </w:rPr>
        <w:t>技能领军人才的经济待遇。鼓励企业为高技能领军人才制定职业发展规划和年资（年功）工资制度，科学评价技能水平和业绩贡献，合理确定年资起加点和工资级差。试行高技能领军人才年薪制和股权期权激励，鼓励各类企业设立特聘岗位津贴、带徒津贴等，参照高级管理人员标准落实经济待遇。对于参与国家科技计划项目的高技能领军人才，鼓励所在单位根据其在项目中的实际贡献给予绩效奖励。落实中央财政科研项目资金管理等政策，制定间接费用统筹使用内部管理办法，对高技能领军人才进行绩效奖励，提高</w:t>
      </w:r>
      <w:proofErr w:type="gramStart"/>
      <w:r w:rsidRPr="00C345EF">
        <w:rPr>
          <w:rFonts w:ascii="宋体" w:eastAsia="宋体" w:hAnsi="宋体" w:cs="宋体" w:hint="eastAsia"/>
          <w:color w:val="333333"/>
          <w:kern w:val="0"/>
          <w:sz w:val="24"/>
          <w:szCs w:val="24"/>
        </w:rPr>
        <w:t>高</w:t>
      </w:r>
      <w:proofErr w:type="gramEnd"/>
      <w:r w:rsidRPr="00C345EF">
        <w:rPr>
          <w:rFonts w:ascii="宋体" w:eastAsia="宋体" w:hAnsi="宋体" w:cs="宋体" w:hint="eastAsia"/>
          <w:color w:val="333333"/>
          <w:kern w:val="0"/>
          <w:sz w:val="24"/>
          <w:szCs w:val="24"/>
        </w:rPr>
        <w:t>技能领军人才创新创造的积极性。对于解决重大工艺技术难题和重大质量问题、技术创新成果获得省部级以上奖项、“师带徒”业绩突出的，取消学历、年限等限制，破格晋升技术等级。</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（四）提高</w:t>
      </w:r>
      <w:proofErr w:type="gramStart"/>
      <w:r w:rsidRPr="00C345EF">
        <w:rPr>
          <w:rFonts w:ascii="宋体" w:eastAsia="宋体" w:hAnsi="宋体" w:cs="宋体" w:hint="eastAsia"/>
          <w:color w:val="333333"/>
          <w:kern w:val="0"/>
          <w:sz w:val="24"/>
          <w:szCs w:val="24"/>
        </w:rPr>
        <w:t>高</w:t>
      </w:r>
      <w:proofErr w:type="gramEnd"/>
      <w:r w:rsidRPr="00C345EF">
        <w:rPr>
          <w:rFonts w:ascii="宋体" w:eastAsia="宋体" w:hAnsi="宋体" w:cs="宋体" w:hint="eastAsia"/>
          <w:color w:val="333333"/>
          <w:kern w:val="0"/>
          <w:sz w:val="24"/>
          <w:szCs w:val="24"/>
        </w:rPr>
        <w:t>技能领军人才的社会待遇。鼓励各地根据实际情况，研究探索对高技能领军人才在购（租）住房、安家补贴、子女接受义务教育等方面的支持政策，通过提供人才公寓和发放房租补贴等方式，解决引进高技能领军人才的住</w:t>
      </w:r>
      <w:r w:rsidRPr="00C345EF">
        <w:rPr>
          <w:rFonts w:ascii="宋体" w:eastAsia="宋体" w:hAnsi="宋体" w:cs="宋体" w:hint="eastAsia"/>
          <w:color w:val="333333"/>
          <w:kern w:val="0"/>
          <w:sz w:val="24"/>
          <w:szCs w:val="24"/>
        </w:rPr>
        <w:lastRenderedPageBreak/>
        <w:t>房问题。实施积分落户的城市，要重点考虑高技能领军人才落户需求并放宽落户条件限制。对经济结构调整中出现困难的企业，要保障高技能领军人才稳定就业，对他们的配偶、子女有就业愿望但未就业的，由有关部门积极提供职业指导和就业前培训，推荐就业岗位。</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五）发挥高技能领军人才在技术创新等方面的重要作用。鼓励高技能领军人才更多参与国家科研项目，开展科技攻关活动。增加高技能领军人才参与全国创新争先奖等奖项的推荐名额。支持高技能领军人才参加创新成果评选、展示和创业创新等活动，切实</w:t>
      </w:r>
      <w:proofErr w:type="gramStart"/>
      <w:r w:rsidRPr="00C345EF">
        <w:rPr>
          <w:rFonts w:ascii="宋体" w:eastAsia="宋体" w:hAnsi="宋体" w:cs="宋体" w:hint="eastAsia"/>
          <w:color w:val="333333"/>
          <w:kern w:val="0"/>
          <w:sz w:val="24"/>
          <w:szCs w:val="24"/>
        </w:rPr>
        <w:t>保护高</w:t>
      </w:r>
      <w:proofErr w:type="gramEnd"/>
      <w:r w:rsidRPr="00C345EF">
        <w:rPr>
          <w:rFonts w:ascii="宋体" w:eastAsia="宋体" w:hAnsi="宋体" w:cs="宋体" w:hint="eastAsia"/>
          <w:color w:val="333333"/>
          <w:kern w:val="0"/>
          <w:sz w:val="24"/>
          <w:szCs w:val="24"/>
        </w:rPr>
        <w:t>技能领军人才的知识产权和技术创新成果转化权益。支持高技能领军人才参与所在企业（地区、集团、行业组织）的职工教育培训，在制定人才发展规划、高技能人才选拔、职称（技能等级）评审或认定、教学实践等工作中发挥骨干作用。多渠道组织高技能领军人才参与国际大型工业展、国际发明展等海外交流活动，海外交流活动可按程序报批列入政府出国培训团组计划。</w:t>
      </w:r>
      <w:proofErr w:type="gramStart"/>
      <w:r w:rsidRPr="00C345EF">
        <w:rPr>
          <w:rFonts w:ascii="宋体" w:eastAsia="宋体" w:hAnsi="宋体" w:cs="宋体" w:hint="eastAsia"/>
          <w:color w:val="333333"/>
          <w:kern w:val="0"/>
          <w:sz w:val="24"/>
          <w:szCs w:val="24"/>
        </w:rPr>
        <w:t>宣传高</w:t>
      </w:r>
      <w:proofErr w:type="gramEnd"/>
      <w:r w:rsidRPr="00C345EF">
        <w:rPr>
          <w:rFonts w:ascii="宋体" w:eastAsia="宋体" w:hAnsi="宋体" w:cs="宋体" w:hint="eastAsia"/>
          <w:color w:val="333333"/>
          <w:kern w:val="0"/>
          <w:sz w:val="24"/>
          <w:szCs w:val="24"/>
        </w:rPr>
        <w:t>技能领军人才先进事迹，开展先进操作法总结、命名，推广绝招、绝技、绝活，制作教育纪录片，树立宣传典型。</w:t>
      </w:r>
    </w:p>
    <w:p w:rsidR="00C345EF" w:rsidRPr="00C345EF" w:rsidRDefault="00C345EF" w:rsidP="00C345E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b/>
          <w:bCs/>
          <w:color w:val="333333"/>
          <w:kern w:val="0"/>
          <w:sz w:val="24"/>
          <w:szCs w:val="24"/>
        </w:rPr>
        <w:t>四、实施工资激励计划，提高技术工人收入水平</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一）完善符合技术工人特点的企业工资分配制度。指导企业深化工资分配制度改革，建立基于岗位价值、能力素质、业绩贡献的工资分配机制，强化工资收入分配的技能价值激励导向。鼓励企业在工资结构中设置体现技术技能价值的工资单元，或对关键技术岗位、关键工序和紧缺急需的技术工人实行协议工资、项目工资、年薪制等分配形式，提高技术工人工资待遇。鼓励企业建立针对技术工人的补助性津贴制度，提高技术工人津贴水平。</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二）建立企业技术工人工资正常增长机制。推动企业建立健全反映劳动力市场供求关系和企业经济效益的工资决定及正常增长机制，积极推进工资集体协商，引导企业科学确定技术工人工资水平并实现合理增长。国有企业工资总额分配要向高技能人才倾斜，高技能人才人均工资增幅应不低于本单位管理人员人均工资增幅。</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（三）探索技术工人长效激励机制。制定企业技术工人技能要素和创新成果按贡献参与分配的办法，推动技术工人享受促进科技成果转化的有关政策。鼓励</w:t>
      </w:r>
      <w:r w:rsidRPr="00C345EF">
        <w:rPr>
          <w:rFonts w:ascii="宋体" w:eastAsia="宋体" w:hAnsi="宋体" w:cs="宋体" w:hint="eastAsia"/>
          <w:color w:val="333333"/>
          <w:kern w:val="0"/>
          <w:sz w:val="24"/>
          <w:szCs w:val="24"/>
        </w:rPr>
        <w:lastRenderedPageBreak/>
        <w:t>企业对高技能人才实行技术创新成果入股、岗位分红等激励方式，促进长期稳定提高技术工人收入水平。</w:t>
      </w:r>
    </w:p>
    <w:p w:rsidR="00C345EF" w:rsidRPr="00C345EF" w:rsidRDefault="00C345EF" w:rsidP="00C345E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b/>
          <w:bCs/>
          <w:color w:val="333333"/>
          <w:kern w:val="0"/>
          <w:sz w:val="24"/>
          <w:szCs w:val="24"/>
        </w:rPr>
        <w:t>五、构建技能形成与提升体系，支持技术工人凭技能提高待遇</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一）加强终身职业技能培训。适应产业结构转型升级趋势，大力弘扬劳模精神和工匠精神，根据劳动者不同就业阶段特点，加强职业素质培养，开展就业技能培训、岗位技能提升培训、创业创新培训，着力缓解就业结构性矛盾。充分发挥企业在技术工人培训中的主体作用，引导企业结合生产经营和技术创新需要，制定技术工人培养规划和培训制度，发挥工会支持、监督和共青团动员、组织作用，确保企业职工教育培训资金落实到位，并向一线技术工人倾斜。加大政府支持力度，按规定对参加职业培训的技术工人提供职业培训补贴和职业技能鉴定补贴。发挥失业保险基金支持参保职工提升职业技能作用，按规定为参保职工提供技能提升补贴。探索“互联网+”远程职业培训新模式。</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二）深入实施高技能人才振兴计划。紧密结合先进制造业、战略性新兴产业、现代服务业发展需要，重点实施高技能人才培训基地、技师培训等项目，推动具备条件的行业企业建立首席技师制度，加大技能大师工作室、劳模和工匠人才创新工作室、职工创新工作室、青创先锋工作室等建设力度。企业可从职工教育经费中列支相关工作室专项经费，支持高技能人才“师带徒”。</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三）加大校企合作培养技术工人力度。充分发挥国民教育对技术工人成长发展的支撑作用，促进职业院校（含技工院校）、本科高校与企业充分合作，改革人才培养模式，提高应用型和技术技能型人才培养培训能力。积极发展职工培训和学历继续教育。提高职业教育质量，促进产教融合。完善职业教育“文化素质+职业技能”的考试招生方式。支持职业院校（含技工院校）、本科高校与企业共同开发教学资源和培训项目。统筹规范现代学徒制和企业新型学徒制。逐步扩大高等职业院校招收有实践经历人员的比例。鼓励企业、职业院校（含技工院校）、本科高校、职业培训机构合作建设现代化产业人才培养培训基地（中心），健全企业参与校企合作的成本补偿等政策，培养符合企业岗位需求的技术工人。鼓励各地根据实际打造具备实践经验的高素质职业教育师资队伍。</w:t>
      </w:r>
    </w:p>
    <w:p w:rsidR="00C345EF" w:rsidRPr="00C345EF" w:rsidRDefault="00C345EF" w:rsidP="00C345E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b/>
          <w:bCs/>
          <w:color w:val="333333"/>
          <w:kern w:val="0"/>
          <w:sz w:val="24"/>
          <w:szCs w:val="24"/>
        </w:rPr>
        <w:t>六、强化评价使用激励工作，</w:t>
      </w:r>
      <w:proofErr w:type="gramStart"/>
      <w:r w:rsidRPr="00C345EF">
        <w:rPr>
          <w:rFonts w:ascii="宋体" w:eastAsia="宋体" w:hAnsi="宋体" w:cs="宋体" w:hint="eastAsia"/>
          <w:b/>
          <w:bCs/>
          <w:color w:val="333333"/>
          <w:kern w:val="0"/>
          <w:sz w:val="24"/>
          <w:szCs w:val="24"/>
        </w:rPr>
        <w:t>畅通技术</w:t>
      </w:r>
      <w:proofErr w:type="gramEnd"/>
      <w:r w:rsidRPr="00C345EF">
        <w:rPr>
          <w:rFonts w:ascii="宋体" w:eastAsia="宋体" w:hAnsi="宋体" w:cs="宋体" w:hint="eastAsia"/>
          <w:b/>
          <w:bCs/>
          <w:color w:val="333333"/>
          <w:kern w:val="0"/>
          <w:sz w:val="24"/>
          <w:szCs w:val="24"/>
        </w:rPr>
        <w:t>工人成长成才通道</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lastRenderedPageBreak/>
        <w:t>（一）完善技术工人评价工作。健全技术工人评价选拔制度，突破年龄、学历、资历、身份等限制，促进优秀技术工人脱颖而出。完善职业技能等级认定政策，引导和支持企业自主开展技能评价并落实待遇。鼓励企业增加技术工人的技能等级层次，拓宽技术工人晋升通道，探索设立技能专家、首席技师、特级技师等岗位。</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二）加大劳动和技能竞赛培养选拔技术工人工作力度。制定出台全国职业技能竞赛管理办法，围绕重大战略、重大工程、重大项目、重点产业，组织开展劳动和技能竞赛。建立以企业岗位练兵和技术比武为基础、以国家和行业竞赛为主体、国内竞赛与国际竞赛相衔接的职业技能竞赛体系。积极参与世界技能大赛，对优秀选手给予奖励和荣誉激励。支持工会、共青团、妇联等群团组织、行业协会在职业技能竞赛工作中积极发挥作用。</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三）完善技术工人平等享受待遇政策。建立职业资格、职业技能等级与相应职称比照认定制度，制定高技能人才参加工程技术人才职称评审或认定的政策。鼓励企业对在聘的高级工、技师、高级技师在学习进修、岗位聘任、职务职级晋升等方面，比照相应层级工程技术人员享受同等待遇。</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四）落实好技术工人休息休假权利。落实《职工带薪年休假条例》和《企业职工带薪年休假实施办法》，加强劳动执法监察，确保技术工人休息休假权利。建立优秀技术工人休疗养制度，定期组织、分级实施休疗养活动。</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五）广泛宣传技术工人劳动成果和创造价值。大力弘扬工匠精神，组织形式多样的宣传活动，展示优秀技术工人风采。鼓励各地区各部门大力开展技术工人表彰活动。做好“五一”国际劳动节、世界青年技能日、职业教育活动周、高技能人才评选表彰等集中宣传工作，继续办好“技能中国行”、“中国大能手”等品牌活动和“大国工匠”系列专题宣传，引导社会各界创作更多反映技术工人时代风貌的优秀文艺作品，营造劳动光荣、技能宝贵、创造伟大的社会氛围，使技术工人获得更多职业荣誉感，不断提高技术工人社会地位。</w:t>
      </w:r>
    </w:p>
    <w:p w:rsidR="00C345EF" w:rsidRPr="00C345EF" w:rsidRDefault="00C345EF" w:rsidP="00C345E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b/>
          <w:bCs/>
          <w:color w:val="333333"/>
          <w:kern w:val="0"/>
          <w:sz w:val="24"/>
          <w:szCs w:val="24"/>
        </w:rPr>
        <w:t>七、加强组织领导</w:t>
      </w:r>
    </w:p>
    <w:p w:rsidR="00C345EF" w:rsidRPr="00C345EF" w:rsidRDefault="00C345EF" w:rsidP="00C345E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C345EF">
        <w:rPr>
          <w:rFonts w:ascii="宋体" w:eastAsia="宋体" w:hAnsi="宋体" w:cs="宋体" w:hint="eastAsia"/>
          <w:color w:val="333333"/>
          <w:kern w:val="0"/>
          <w:sz w:val="24"/>
          <w:szCs w:val="24"/>
        </w:rPr>
        <w:t>各地区各部门要充分认识提高技术工人待遇的重大意义，列入重要议事日程，持续推动技术工人待遇水平的提高，对成熟有效的做法要及时上升为法规政策。</w:t>
      </w:r>
      <w:r w:rsidRPr="00C345EF">
        <w:rPr>
          <w:rFonts w:ascii="宋体" w:eastAsia="宋体" w:hAnsi="宋体" w:cs="宋体" w:hint="eastAsia"/>
          <w:color w:val="333333"/>
          <w:kern w:val="0"/>
          <w:sz w:val="24"/>
          <w:szCs w:val="24"/>
        </w:rPr>
        <w:lastRenderedPageBreak/>
        <w:t>建立多方协调机制，人力资源社会保障部门要加强统筹协调，发展改革、教育、科技、工业和信息化、公安、财政、住房城乡建设、文化、国资、税务、外专等有关部门和工会、共青团、妇联、科协等群团组织要各尽其职、紧密配合。各有关部门要深入调查研究，加强工作指导和对技术工人的教育管理，广泛听取各类企业、行业协会、技术工人、社会公众的意见，密切跟踪技术工人待遇政策落实情况，加强督查检查，认真总结经验，推动各项政策措施落到实处。国有企业要带头落实本意</w:t>
      </w:r>
      <w:proofErr w:type="gramStart"/>
      <w:r w:rsidRPr="00C345EF">
        <w:rPr>
          <w:rFonts w:ascii="宋体" w:eastAsia="宋体" w:hAnsi="宋体" w:cs="宋体" w:hint="eastAsia"/>
          <w:color w:val="333333"/>
          <w:kern w:val="0"/>
          <w:sz w:val="24"/>
          <w:szCs w:val="24"/>
        </w:rPr>
        <w:t>见明确</w:t>
      </w:r>
      <w:proofErr w:type="gramEnd"/>
      <w:r w:rsidRPr="00C345EF">
        <w:rPr>
          <w:rFonts w:ascii="宋体" w:eastAsia="宋体" w:hAnsi="宋体" w:cs="宋体" w:hint="eastAsia"/>
          <w:color w:val="333333"/>
          <w:kern w:val="0"/>
          <w:sz w:val="24"/>
          <w:szCs w:val="24"/>
        </w:rPr>
        <w:t>的各项政策措施。推动非国有企业结合实际，进一步完善提高技术工人待遇水平的措施。</w:t>
      </w:r>
    </w:p>
    <w:p w:rsidR="008709AC" w:rsidRPr="00C345EF" w:rsidRDefault="008709AC"/>
    <w:sectPr w:rsidR="008709AC" w:rsidRPr="00C34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EF"/>
    <w:rsid w:val="008709AC"/>
    <w:rsid w:val="00C3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4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45EF"/>
    <w:rPr>
      <w:rFonts w:ascii="宋体" w:eastAsia="宋体" w:hAnsi="宋体" w:cs="宋体"/>
      <w:b/>
      <w:bCs/>
      <w:kern w:val="36"/>
      <w:sz w:val="48"/>
      <w:szCs w:val="48"/>
    </w:rPr>
  </w:style>
  <w:style w:type="character" w:customStyle="1" w:styleId="font">
    <w:name w:val="font"/>
    <w:basedOn w:val="a0"/>
    <w:rsid w:val="00C345EF"/>
  </w:style>
  <w:style w:type="character" w:customStyle="1" w:styleId="bigger">
    <w:name w:val="bigger"/>
    <w:basedOn w:val="a0"/>
    <w:rsid w:val="00C345EF"/>
  </w:style>
  <w:style w:type="character" w:customStyle="1" w:styleId="medium">
    <w:name w:val="medium"/>
    <w:basedOn w:val="a0"/>
    <w:rsid w:val="00C345EF"/>
  </w:style>
  <w:style w:type="character" w:customStyle="1" w:styleId="smaller">
    <w:name w:val="smaller"/>
    <w:basedOn w:val="a0"/>
    <w:rsid w:val="00C345EF"/>
  </w:style>
  <w:style w:type="character" w:styleId="a3">
    <w:name w:val="Hyperlink"/>
    <w:basedOn w:val="a0"/>
    <w:uiPriority w:val="99"/>
    <w:semiHidden/>
    <w:unhideWhenUsed/>
    <w:rsid w:val="00C345EF"/>
    <w:rPr>
      <w:color w:val="0000FF"/>
      <w:u w:val="single"/>
    </w:rPr>
  </w:style>
  <w:style w:type="character" w:customStyle="1" w:styleId="gwdsmore">
    <w:name w:val="gwds_more"/>
    <w:basedOn w:val="a0"/>
    <w:rsid w:val="00C345EF"/>
  </w:style>
  <w:style w:type="paragraph" w:styleId="a4">
    <w:name w:val="Normal (Web)"/>
    <w:basedOn w:val="a"/>
    <w:uiPriority w:val="99"/>
    <w:semiHidden/>
    <w:unhideWhenUsed/>
    <w:rsid w:val="00C345E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4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45EF"/>
    <w:rPr>
      <w:rFonts w:ascii="宋体" w:eastAsia="宋体" w:hAnsi="宋体" w:cs="宋体"/>
      <w:b/>
      <w:bCs/>
      <w:kern w:val="36"/>
      <w:sz w:val="48"/>
      <w:szCs w:val="48"/>
    </w:rPr>
  </w:style>
  <w:style w:type="character" w:customStyle="1" w:styleId="font">
    <w:name w:val="font"/>
    <w:basedOn w:val="a0"/>
    <w:rsid w:val="00C345EF"/>
  </w:style>
  <w:style w:type="character" w:customStyle="1" w:styleId="bigger">
    <w:name w:val="bigger"/>
    <w:basedOn w:val="a0"/>
    <w:rsid w:val="00C345EF"/>
  </w:style>
  <w:style w:type="character" w:customStyle="1" w:styleId="medium">
    <w:name w:val="medium"/>
    <w:basedOn w:val="a0"/>
    <w:rsid w:val="00C345EF"/>
  </w:style>
  <w:style w:type="character" w:customStyle="1" w:styleId="smaller">
    <w:name w:val="smaller"/>
    <w:basedOn w:val="a0"/>
    <w:rsid w:val="00C345EF"/>
  </w:style>
  <w:style w:type="character" w:styleId="a3">
    <w:name w:val="Hyperlink"/>
    <w:basedOn w:val="a0"/>
    <w:uiPriority w:val="99"/>
    <w:semiHidden/>
    <w:unhideWhenUsed/>
    <w:rsid w:val="00C345EF"/>
    <w:rPr>
      <w:color w:val="0000FF"/>
      <w:u w:val="single"/>
    </w:rPr>
  </w:style>
  <w:style w:type="character" w:customStyle="1" w:styleId="gwdsmore">
    <w:name w:val="gwds_more"/>
    <w:basedOn w:val="a0"/>
    <w:rsid w:val="00C345EF"/>
  </w:style>
  <w:style w:type="paragraph" w:styleId="a4">
    <w:name w:val="Normal (Web)"/>
    <w:basedOn w:val="a"/>
    <w:uiPriority w:val="99"/>
    <w:semiHidden/>
    <w:unhideWhenUsed/>
    <w:rsid w:val="00C345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0440">
      <w:bodyDiv w:val="1"/>
      <w:marLeft w:val="0"/>
      <w:marRight w:val="0"/>
      <w:marTop w:val="0"/>
      <w:marBottom w:val="0"/>
      <w:divBdr>
        <w:top w:val="none" w:sz="0" w:space="0" w:color="auto"/>
        <w:left w:val="none" w:sz="0" w:space="0" w:color="auto"/>
        <w:bottom w:val="none" w:sz="0" w:space="0" w:color="auto"/>
        <w:right w:val="none" w:sz="0" w:space="0" w:color="auto"/>
      </w:divBdr>
      <w:divsChild>
        <w:div w:id="2090761707">
          <w:marLeft w:val="0"/>
          <w:marRight w:val="0"/>
          <w:marTop w:val="0"/>
          <w:marBottom w:val="0"/>
          <w:divBdr>
            <w:top w:val="none" w:sz="0" w:space="0" w:color="auto"/>
            <w:left w:val="none" w:sz="0" w:space="0" w:color="auto"/>
            <w:bottom w:val="single" w:sz="6" w:space="0" w:color="DCDCDC"/>
            <w:right w:val="none" w:sz="0" w:space="0" w:color="auto"/>
          </w:divBdr>
          <w:divsChild>
            <w:div w:id="1133522583">
              <w:marLeft w:val="0"/>
              <w:marRight w:val="0"/>
              <w:marTop w:val="0"/>
              <w:marBottom w:val="0"/>
              <w:divBdr>
                <w:top w:val="none" w:sz="0" w:space="0" w:color="auto"/>
                <w:left w:val="none" w:sz="0" w:space="0" w:color="auto"/>
                <w:bottom w:val="none" w:sz="0" w:space="0" w:color="auto"/>
                <w:right w:val="none" w:sz="0" w:space="0" w:color="auto"/>
              </w:divBdr>
              <w:divsChild>
                <w:div w:id="391855130">
                  <w:marLeft w:val="0"/>
                  <w:marRight w:val="0"/>
                  <w:marTop w:val="0"/>
                  <w:marBottom w:val="0"/>
                  <w:divBdr>
                    <w:top w:val="none" w:sz="0" w:space="0" w:color="auto"/>
                    <w:left w:val="none" w:sz="0" w:space="0" w:color="auto"/>
                    <w:bottom w:val="none" w:sz="0" w:space="0" w:color="auto"/>
                    <w:right w:val="none" w:sz="0" w:space="0" w:color="auto"/>
                  </w:divBdr>
                  <w:divsChild>
                    <w:div w:id="239561439">
                      <w:marLeft w:val="0"/>
                      <w:marRight w:val="0"/>
                      <w:marTop w:val="0"/>
                      <w:marBottom w:val="0"/>
                      <w:divBdr>
                        <w:top w:val="none" w:sz="0" w:space="0" w:color="auto"/>
                        <w:left w:val="none" w:sz="0" w:space="0" w:color="auto"/>
                        <w:bottom w:val="none" w:sz="0" w:space="0" w:color="auto"/>
                        <w:right w:val="none" w:sz="0" w:space="0" w:color="auto"/>
                      </w:divBdr>
                      <w:divsChild>
                        <w:div w:id="1422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cn/zhengce/2018-03/22/content_5276686.htm" TargetMode="External"/><Relationship Id="rId5" Type="http://schemas.openxmlformats.org/officeDocument/2006/relationships/hyperlink" Target="http://www.gov.cn/zhengce/2018-03/22/content_527668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706</Words>
  <Characters>4028</Characters>
  <Application>Microsoft Office Word</Application>
  <DocSecurity>0</DocSecurity>
  <Lines>33</Lines>
  <Paragraphs>9</Paragraphs>
  <ScaleCrop>false</ScaleCrop>
  <Company>Sky123.Org</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2020-05-31T05:19:00Z</dcterms:created>
  <dcterms:modified xsi:type="dcterms:W3CDTF">2020-05-31T05:24:00Z</dcterms:modified>
</cp:coreProperties>
</file>