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B03" w:rsidRPr="00E978C9" w:rsidRDefault="00923B03" w:rsidP="00923B03">
      <w:pPr>
        <w:spacing w:line="600" w:lineRule="exact"/>
        <w:jc w:val="left"/>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附件</w:t>
      </w:r>
      <w:r w:rsidRPr="00E978C9">
        <w:rPr>
          <w:rFonts w:ascii="Times New Roman" w:eastAsia="方正仿宋_GBK" w:hAnsi="Times New Roman" w:cs="Times New Roman" w:hint="eastAsia"/>
          <w:sz w:val="32"/>
          <w:szCs w:val="32"/>
        </w:rPr>
        <w:t>1</w:t>
      </w:r>
      <w:r w:rsidRPr="00E978C9">
        <w:rPr>
          <w:rFonts w:ascii="Times New Roman" w:eastAsia="方正仿宋_GBK" w:hAnsi="Times New Roman" w:cs="Times New Roman" w:hint="eastAsia"/>
          <w:sz w:val="32"/>
          <w:szCs w:val="32"/>
        </w:rPr>
        <w:t>：</w:t>
      </w:r>
    </w:p>
    <w:p w:rsidR="00923B03" w:rsidRPr="00E978C9" w:rsidRDefault="00923B03" w:rsidP="00923B03">
      <w:pPr>
        <w:spacing w:line="600" w:lineRule="exact"/>
        <w:jc w:val="center"/>
        <w:rPr>
          <w:rFonts w:ascii="方正小标宋_GBK" w:eastAsia="方正小标宋_GBK" w:hAnsi="Times New Roman" w:cs="Times New Roman"/>
          <w:sz w:val="40"/>
          <w:szCs w:val="40"/>
        </w:rPr>
      </w:pPr>
      <w:r w:rsidRPr="00E978C9">
        <w:rPr>
          <w:rFonts w:ascii="方正小标宋_GBK" w:eastAsia="方正小标宋_GBK" w:hAnsi="Times New Roman" w:cs="Times New Roman" w:hint="eastAsia"/>
          <w:sz w:val="40"/>
          <w:szCs w:val="40"/>
        </w:rPr>
        <w:t>消防车通道标识设置标准</w:t>
      </w:r>
    </w:p>
    <w:p w:rsidR="00923B03" w:rsidRPr="00E978C9" w:rsidRDefault="00923B03" w:rsidP="00923B03">
      <w:pPr>
        <w:spacing w:line="600" w:lineRule="exact"/>
        <w:ind w:firstLineChars="200" w:firstLine="640"/>
        <w:rPr>
          <w:rFonts w:ascii="Times New Roman" w:eastAsia="方正仿宋_GBK" w:hAnsi="Times New Roman" w:cs="Times New Roman"/>
          <w:sz w:val="32"/>
          <w:szCs w:val="32"/>
        </w:rPr>
      </w:pPr>
    </w:p>
    <w:p w:rsidR="00923B03" w:rsidRPr="00E978C9" w:rsidRDefault="00923B03" w:rsidP="00923B03">
      <w:pPr>
        <w:spacing w:line="560" w:lineRule="exact"/>
        <w:ind w:firstLineChars="200" w:firstLine="640"/>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根据《中华人民共和国消防法》《中华人民共和国道路交通安全法》和国家标准《道路交通标志和标线》（</w:t>
      </w:r>
      <w:r w:rsidRPr="00E978C9">
        <w:rPr>
          <w:rFonts w:ascii="Times New Roman" w:eastAsia="方正仿宋_GBK" w:hAnsi="Times New Roman" w:cs="Times New Roman"/>
          <w:sz w:val="32"/>
          <w:szCs w:val="32"/>
        </w:rPr>
        <w:t>GB 5768</w:t>
      </w:r>
      <w:r w:rsidRPr="00E978C9">
        <w:rPr>
          <w:rFonts w:ascii="Times New Roman" w:eastAsia="方正仿宋_GBK" w:hAnsi="Times New Roman" w:cs="Times New Roman" w:hint="eastAsia"/>
          <w:sz w:val="32"/>
          <w:szCs w:val="32"/>
        </w:rPr>
        <w:t>）的有关规定，单位或者住宅区内的消防车通道沿途标志和标线标识设置应符合下列规定：</w:t>
      </w:r>
    </w:p>
    <w:p w:rsidR="00923B03" w:rsidRPr="00E978C9" w:rsidRDefault="00923B03" w:rsidP="00923B03">
      <w:pPr>
        <w:spacing w:line="560" w:lineRule="exact"/>
        <w:ind w:firstLineChars="200" w:firstLine="640"/>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（一）在消防车通道路侧缘石立面和顶面应当施划黄色禁止停车标线。</w:t>
      </w:r>
    </w:p>
    <w:p w:rsidR="00923B03" w:rsidRPr="00E978C9" w:rsidRDefault="00923B03" w:rsidP="00923B03">
      <w:pPr>
        <w:spacing w:line="560" w:lineRule="exact"/>
        <w:ind w:firstLineChars="200" w:firstLine="640"/>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（二）无缘石的道路应当在路面上施划禁止停车标线，标线为黄色单实线，距路面边缘</w:t>
      </w:r>
      <w:r w:rsidRPr="00E978C9">
        <w:rPr>
          <w:rFonts w:ascii="Times New Roman" w:eastAsia="方正仿宋_GBK" w:hAnsi="Times New Roman" w:cs="Times New Roman"/>
          <w:sz w:val="32"/>
          <w:szCs w:val="32"/>
        </w:rPr>
        <w:t>30</w:t>
      </w:r>
      <w:r w:rsidRPr="00E978C9">
        <w:rPr>
          <w:rFonts w:ascii="Times New Roman" w:eastAsia="方正仿宋_GBK" w:hAnsi="Times New Roman" w:cs="Times New Roman" w:hint="eastAsia"/>
          <w:sz w:val="32"/>
          <w:szCs w:val="32"/>
        </w:rPr>
        <w:t>厘米，线宽</w:t>
      </w:r>
      <w:r w:rsidRPr="00E978C9">
        <w:rPr>
          <w:rFonts w:ascii="Times New Roman" w:eastAsia="方正仿宋_GBK" w:hAnsi="Times New Roman" w:cs="Times New Roman"/>
          <w:sz w:val="32"/>
          <w:szCs w:val="32"/>
        </w:rPr>
        <w:t>15</w:t>
      </w:r>
      <w:r w:rsidRPr="00E978C9">
        <w:rPr>
          <w:rFonts w:ascii="Times New Roman" w:eastAsia="方正仿宋_GBK" w:hAnsi="Times New Roman" w:cs="Times New Roman" w:hint="eastAsia"/>
          <w:sz w:val="32"/>
          <w:szCs w:val="32"/>
        </w:rPr>
        <w:t>厘米。</w:t>
      </w:r>
    </w:p>
    <w:p w:rsidR="00923B03" w:rsidRPr="00E978C9" w:rsidRDefault="00923B03" w:rsidP="00923B03">
      <w:pPr>
        <w:spacing w:line="560" w:lineRule="exact"/>
        <w:ind w:firstLineChars="200" w:firstLine="640"/>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（三）消防车通道沿途每隔</w:t>
      </w:r>
      <w:r w:rsidRPr="00E978C9">
        <w:rPr>
          <w:rFonts w:ascii="Times New Roman" w:eastAsia="方正仿宋_GBK" w:hAnsi="Times New Roman" w:cs="Times New Roman"/>
          <w:sz w:val="32"/>
          <w:szCs w:val="32"/>
        </w:rPr>
        <w:t>20</w:t>
      </w:r>
      <w:r w:rsidRPr="00E978C9">
        <w:rPr>
          <w:rFonts w:ascii="Times New Roman" w:eastAsia="方正仿宋_GBK" w:hAnsi="Times New Roman" w:cs="Times New Roman" w:hint="eastAsia"/>
          <w:sz w:val="32"/>
          <w:szCs w:val="32"/>
        </w:rPr>
        <w:t>米距离在路面中央施划黄色方框线（不得与消防车登高操作面划线重叠），在方框内沿行车方向标注内容为</w:t>
      </w:r>
      <w:r w:rsidRPr="00E978C9">
        <w:rPr>
          <w:rFonts w:ascii="Times New Roman" w:eastAsia="方正仿宋_GBK" w:hAnsi="Times New Roman" w:cs="Times New Roman"/>
          <w:sz w:val="32"/>
          <w:szCs w:val="32"/>
        </w:rPr>
        <w:t>“</w:t>
      </w:r>
      <w:r w:rsidRPr="00E978C9">
        <w:rPr>
          <w:rFonts w:ascii="Times New Roman" w:eastAsia="方正仿宋_GBK" w:hAnsi="Times New Roman" w:cs="Times New Roman" w:hint="eastAsia"/>
          <w:sz w:val="32"/>
          <w:szCs w:val="32"/>
        </w:rPr>
        <w:t>消防车道</w:t>
      </w:r>
      <w:r w:rsidRPr="00E978C9">
        <w:rPr>
          <w:rFonts w:ascii="Times New Roman" w:eastAsia="方正仿宋_GBK" w:hAnsi="Times New Roman" w:cs="Times New Roman"/>
          <w:sz w:val="32"/>
          <w:szCs w:val="32"/>
        </w:rPr>
        <w:t xml:space="preserve"> </w:t>
      </w:r>
      <w:r w:rsidRPr="00E978C9">
        <w:rPr>
          <w:rFonts w:ascii="Times New Roman" w:eastAsia="方正仿宋_GBK" w:hAnsi="Times New Roman" w:cs="Times New Roman" w:hint="eastAsia"/>
          <w:sz w:val="32"/>
          <w:szCs w:val="32"/>
        </w:rPr>
        <w:t>禁止占用</w:t>
      </w:r>
      <w:r w:rsidRPr="00E978C9">
        <w:rPr>
          <w:rFonts w:ascii="Times New Roman" w:eastAsia="方正仿宋_GBK" w:hAnsi="Times New Roman" w:cs="Times New Roman"/>
          <w:sz w:val="32"/>
          <w:szCs w:val="32"/>
        </w:rPr>
        <w:t>”</w:t>
      </w:r>
      <w:r w:rsidRPr="00E978C9">
        <w:rPr>
          <w:rFonts w:ascii="Times New Roman" w:eastAsia="方正仿宋_GBK" w:hAnsi="Times New Roman" w:cs="Times New Roman" w:hint="eastAsia"/>
          <w:sz w:val="32"/>
          <w:szCs w:val="32"/>
        </w:rPr>
        <w:t>的警示字样。黄色方框线长宽不小于</w:t>
      </w:r>
      <w:r w:rsidRPr="00E978C9">
        <w:rPr>
          <w:rFonts w:ascii="Times New Roman" w:eastAsia="方正仿宋_GBK" w:hAnsi="Times New Roman" w:cs="Times New Roman"/>
          <w:sz w:val="32"/>
          <w:szCs w:val="32"/>
        </w:rPr>
        <w:t>2m</w:t>
      </w:r>
      <w:r w:rsidRPr="00E978C9">
        <w:rPr>
          <w:rFonts w:ascii="Times New Roman" w:eastAsia="方正仿宋_GBK" w:hAnsi="Times New Roman" w:cs="Times New Roman" w:hint="eastAsia"/>
          <w:sz w:val="32"/>
          <w:szCs w:val="32"/>
        </w:rPr>
        <w:t>×</w:t>
      </w:r>
      <w:r w:rsidRPr="00E978C9">
        <w:rPr>
          <w:rFonts w:ascii="Times New Roman" w:eastAsia="方正仿宋_GBK" w:hAnsi="Times New Roman" w:cs="Times New Roman"/>
          <w:sz w:val="32"/>
          <w:szCs w:val="32"/>
        </w:rPr>
        <w:t>1.5m</w:t>
      </w:r>
      <w:r w:rsidRPr="00E978C9">
        <w:rPr>
          <w:rFonts w:ascii="Times New Roman" w:eastAsia="方正仿宋_GBK" w:hAnsi="Times New Roman" w:cs="Times New Roman" w:hint="eastAsia"/>
          <w:sz w:val="32"/>
          <w:szCs w:val="32"/>
        </w:rPr>
        <w:t>（若受条件限制，无法满足醒目度要求，应按</w:t>
      </w:r>
      <w:r w:rsidRPr="00E978C9">
        <w:rPr>
          <w:rFonts w:ascii="Times New Roman" w:eastAsia="方正仿宋_GBK" w:hAnsi="Times New Roman" w:cs="Times New Roman"/>
          <w:sz w:val="32"/>
          <w:szCs w:val="32"/>
        </w:rPr>
        <w:t>4:3</w:t>
      </w:r>
      <w:r w:rsidRPr="00E978C9">
        <w:rPr>
          <w:rFonts w:ascii="Times New Roman" w:eastAsia="方正仿宋_GBK" w:hAnsi="Times New Roman" w:cs="Times New Roman" w:hint="eastAsia"/>
          <w:sz w:val="32"/>
          <w:szCs w:val="32"/>
        </w:rPr>
        <w:t>比例加大标志的尺寸）。</w:t>
      </w:r>
    </w:p>
    <w:p w:rsidR="00923B03" w:rsidRPr="00E978C9" w:rsidRDefault="00923B03" w:rsidP="00923B03">
      <w:pPr>
        <w:snapToGrid w:val="0"/>
        <w:spacing w:line="560" w:lineRule="exact"/>
        <w:jc w:val="center"/>
        <w:rPr>
          <w:rFonts w:ascii="Times New Roman" w:eastAsia="方正黑体_GBK"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5168" behindDoc="0" locked="1" layoutInCell="1" allowOverlap="1">
            <wp:simplePos x="0" y="0"/>
            <wp:positionH relativeFrom="column">
              <wp:posOffset>1330325</wp:posOffset>
            </wp:positionH>
            <wp:positionV relativeFrom="paragraph">
              <wp:posOffset>596900</wp:posOffset>
            </wp:positionV>
            <wp:extent cx="2879725" cy="1465580"/>
            <wp:effectExtent l="19050" t="0" r="0" b="0"/>
            <wp:wrapTopAndBottom/>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srcRect/>
                    <a:stretch>
                      <a:fillRect/>
                    </a:stretch>
                  </pic:blipFill>
                  <pic:spPr bwMode="auto">
                    <a:xfrm>
                      <a:off x="0" y="0"/>
                      <a:ext cx="2879725" cy="1465580"/>
                    </a:xfrm>
                    <a:prstGeom prst="rect">
                      <a:avLst/>
                    </a:prstGeom>
                    <a:noFill/>
                    <a:ln w="9525" cmpd="sng">
                      <a:noFill/>
                      <a:miter lim="800000"/>
                      <a:headEnd/>
                      <a:tailEnd/>
                    </a:ln>
                  </pic:spPr>
                </pic:pic>
              </a:graphicData>
            </a:graphic>
          </wp:anchor>
        </w:drawing>
      </w:r>
      <w:r w:rsidRPr="00E978C9">
        <w:rPr>
          <w:rFonts w:ascii="Times New Roman" w:eastAsia="方正黑体_GBK" w:hAnsi="Times New Roman" w:cs="Times New Roman" w:hint="eastAsia"/>
          <w:sz w:val="32"/>
          <w:szCs w:val="32"/>
        </w:rPr>
        <w:t>消防车通道路侧禁停标线及路面警示标志示例</w:t>
      </w:r>
    </w:p>
    <w:p w:rsidR="00923B03" w:rsidRPr="00E978C9" w:rsidRDefault="00923B03" w:rsidP="00923B03">
      <w:pPr>
        <w:spacing w:line="560" w:lineRule="exact"/>
        <w:ind w:firstLineChars="200" w:firstLine="640"/>
        <w:rPr>
          <w:rFonts w:ascii="Times New Roman" w:eastAsia="方正仿宋_GBK" w:hAnsi="Times New Roman" w:cs="Times New Roman"/>
          <w:sz w:val="32"/>
          <w:szCs w:val="32"/>
        </w:rPr>
      </w:pPr>
      <w:r w:rsidRPr="00E978C9">
        <w:rPr>
          <w:rFonts w:ascii="Times New Roman" w:eastAsia="方正仿宋_GBK" w:hAnsi="Times New Roman" w:cs="Times New Roman" w:hint="eastAsia"/>
          <w:sz w:val="32"/>
          <w:szCs w:val="32"/>
        </w:rPr>
        <w:t>（四）在单位或者住宅区的消防车通道出入口路面，按照消防车通道净宽施划禁停标线，标线为黄色网状实线，外边框线宽</w:t>
      </w:r>
      <w:r w:rsidRPr="00E978C9">
        <w:rPr>
          <w:rFonts w:ascii="Times New Roman" w:eastAsia="方正仿宋_GBK" w:hAnsi="Times New Roman" w:cs="Times New Roman"/>
          <w:sz w:val="32"/>
          <w:szCs w:val="32"/>
        </w:rPr>
        <w:lastRenderedPageBreak/>
        <w:t>20</w:t>
      </w:r>
      <w:r w:rsidRPr="00E978C9">
        <w:rPr>
          <w:rFonts w:ascii="Times New Roman" w:eastAsia="方正仿宋_GBK" w:hAnsi="Times New Roman" w:cs="Times New Roman" w:hint="eastAsia"/>
          <w:sz w:val="32"/>
          <w:szCs w:val="32"/>
        </w:rPr>
        <w:t>厘米，内部网格线宽</w:t>
      </w:r>
      <w:r w:rsidRPr="00E978C9">
        <w:rPr>
          <w:rFonts w:ascii="Times New Roman" w:eastAsia="方正仿宋_GBK" w:hAnsi="Times New Roman" w:cs="Times New Roman"/>
          <w:sz w:val="32"/>
          <w:szCs w:val="32"/>
        </w:rPr>
        <w:t>10</w:t>
      </w:r>
      <w:r w:rsidRPr="00E978C9">
        <w:rPr>
          <w:rFonts w:ascii="Times New Roman" w:eastAsia="方正仿宋_GBK" w:hAnsi="Times New Roman" w:cs="Times New Roman" w:hint="eastAsia"/>
          <w:sz w:val="32"/>
          <w:szCs w:val="32"/>
        </w:rPr>
        <w:t>厘米，内部网格线与外边框夹角</w:t>
      </w:r>
      <w:r w:rsidRPr="00E978C9">
        <w:rPr>
          <w:rFonts w:ascii="Times New Roman" w:eastAsia="方正仿宋_GBK" w:hAnsi="Times New Roman" w:cs="Times New Roman"/>
          <w:sz w:val="32"/>
          <w:szCs w:val="32"/>
        </w:rPr>
        <w:t>45</w:t>
      </w:r>
      <w:r w:rsidRPr="00E978C9">
        <w:rPr>
          <w:rFonts w:ascii="Times New Roman" w:eastAsia="方正仿宋_GBK" w:hAnsi="Times New Roman" w:cs="Times New Roman" w:hint="eastAsia"/>
          <w:sz w:val="32"/>
          <w:szCs w:val="32"/>
        </w:rPr>
        <w:t>度，标线中央位置沿行车方向标注内容为</w:t>
      </w:r>
      <w:r w:rsidRPr="00E978C9">
        <w:rPr>
          <w:rFonts w:ascii="Times New Roman" w:eastAsia="方正仿宋_GBK" w:hAnsi="Times New Roman" w:cs="Times New Roman"/>
          <w:sz w:val="32"/>
          <w:szCs w:val="32"/>
        </w:rPr>
        <w:t>“</w:t>
      </w:r>
      <w:r w:rsidRPr="00E978C9">
        <w:rPr>
          <w:rFonts w:ascii="Times New Roman" w:eastAsia="方正仿宋_GBK" w:hAnsi="Times New Roman" w:cs="Times New Roman" w:hint="eastAsia"/>
          <w:sz w:val="32"/>
          <w:szCs w:val="32"/>
        </w:rPr>
        <w:t>消防车道</w:t>
      </w:r>
      <w:r w:rsidRPr="00E978C9">
        <w:rPr>
          <w:rFonts w:ascii="Times New Roman" w:eastAsia="方正仿宋_GBK" w:hAnsi="Times New Roman" w:cs="Times New Roman"/>
          <w:sz w:val="32"/>
          <w:szCs w:val="32"/>
        </w:rPr>
        <w:t xml:space="preserve"> </w:t>
      </w:r>
      <w:r w:rsidRPr="00E978C9">
        <w:rPr>
          <w:rFonts w:ascii="Times New Roman" w:eastAsia="方正仿宋_GBK" w:hAnsi="Times New Roman" w:cs="Times New Roman" w:hint="eastAsia"/>
          <w:sz w:val="32"/>
          <w:szCs w:val="32"/>
        </w:rPr>
        <w:t>禁止占用</w:t>
      </w:r>
      <w:r w:rsidRPr="00E978C9">
        <w:rPr>
          <w:rFonts w:ascii="Times New Roman" w:eastAsia="方正仿宋_GBK" w:hAnsi="Times New Roman" w:cs="Times New Roman"/>
          <w:sz w:val="32"/>
          <w:szCs w:val="32"/>
        </w:rPr>
        <w:t>”</w:t>
      </w:r>
      <w:r w:rsidRPr="00E978C9">
        <w:rPr>
          <w:rFonts w:ascii="Times New Roman" w:eastAsia="方正仿宋_GBK" w:hAnsi="Times New Roman" w:cs="Times New Roman" w:hint="eastAsia"/>
          <w:sz w:val="32"/>
          <w:szCs w:val="32"/>
        </w:rPr>
        <w:t>的警示字样。禁停标线长宽不小于</w:t>
      </w:r>
      <w:r w:rsidRPr="00E978C9">
        <w:rPr>
          <w:rFonts w:ascii="Times New Roman" w:eastAsia="方正仿宋_GBK" w:hAnsi="Times New Roman" w:cs="Times New Roman"/>
          <w:sz w:val="32"/>
          <w:szCs w:val="32"/>
        </w:rPr>
        <w:t>2m</w:t>
      </w:r>
      <w:r w:rsidRPr="00E978C9">
        <w:rPr>
          <w:rFonts w:ascii="Times New Roman" w:eastAsia="方正仿宋_GBK" w:hAnsi="Times New Roman" w:cs="Times New Roman" w:hint="eastAsia"/>
          <w:sz w:val="32"/>
          <w:szCs w:val="32"/>
        </w:rPr>
        <w:t>×</w:t>
      </w:r>
      <w:r w:rsidRPr="00E978C9">
        <w:rPr>
          <w:rFonts w:ascii="Times New Roman" w:eastAsia="方正仿宋_GBK" w:hAnsi="Times New Roman" w:cs="Times New Roman"/>
          <w:sz w:val="32"/>
          <w:szCs w:val="32"/>
        </w:rPr>
        <w:t>1.5m</w:t>
      </w:r>
      <w:r w:rsidRPr="00E978C9">
        <w:rPr>
          <w:rFonts w:ascii="Times New Roman" w:eastAsia="方正仿宋_GBK" w:hAnsi="Times New Roman" w:cs="Times New Roman" w:hint="eastAsia"/>
          <w:sz w:val="32"/>
          <w:szCs w:val="32"/>
        </w:rPr>
        <w:t>（若受条件限制，无法满足醒目度要求，应按</w:t>
      </w:r>
      <w:r w:rsidRPr="00E978C9">
        <w:rPr>
          <w:rFonts w:ascii="Times New Roman" w:eastAsia="方正仿宋_GBK" w:hAnsi="Times New Roman" w:cs="Times New Roman"/>
          <w:sz w:val="32"/>
          <w:szCs w:val="32"/>
        </w:rPr>
        <w:t>4:3</w:t>
      </w:r>
      <w:r w:rsidRPr="00E978C9">
        <w:rPr>
          <w:rFonts w:ascii="Times New Roman" w:eastAsia="方正仿宋_GBK" w:hAnsi="Times New Roman" w:cs="Times New Roman" w:hint="eastAsia"/>
          <w:sz w:val="32"/>
          <w:szCs w:val="32"/>
        </w:rPr>
        <w:t>比例加大标志的尺寸）。</w:t>
      </w:r>
    </w:p>
    <w:p w:rsidR="00923B03" w:rsidRPr="00E978C9" w:rsidRDefault="00923B03" w:rsidP="00923B03">
      <w:pPr>
        <w:snapToGrid w:val="0"/>
        <w:spacing w:line="560" w:lineRule="exact"/>
        <w:jc w:val="center"/>
        <w:rPr>
          <w:rFonts w:ascii="Times New Roman" w:eastAsia="方正黑体_GBK"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6192" behindDoc="0" locked="1" layoutInCell="1" allowOverlap="1">
            <wp:simplePos x="0" y="0"/>
            <wp:positionH relativeFrom="column">
              <wp:posOffset>1493520</wp:posOffset>
            </wp:positionH>
            <wp:positionV relativeFrom="paragraph">
              <wp:posOffset>403860</wp:posOffset>
            </wp:positionV>
            <wp:extent cx="2541905" cy="2900680"/>
            <wp:effectExtent l="19050" t="0" r="0" b="0"/>
            <wp:wrapTopAndBottom/>
            <wp:docPr id="15" name="图片 0" descr="批注 2019-12-12 135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批注 2019-12-12 135436.jpg"/>
                    <pic:cNvPicPr>
                      <a:picLocks noChangeAspect="1" noChangeArrowheads="1"/>
                    </pic:cNvPicPr>
                  </pic:nvPicPr>
                  <pic:blipFill>
                    <a:blip r:embed="rId7" cstate="print"/>
                    <a:srcRect/>
                    <a:stretch>
                      <a:fillRect/>
                    </a:stretch>
                  </pic:blipFill>
                  <pic:spPr bwMode="auto">
                    <a:xfrm>
                      <a:off x="0" y="0"/>
                      <a:ext cx="2541905" cy="2900680"/>
                    </a:xfrm>
                    <a:prstGeom prst="rect">
                      <a:avLst/>
                    </a:prstGeom>
                    <a:noFill/>
                    <a:ln w="9525" cmpd="sng">
                      <a:noFill/>
                      <a:miter lim="800000"/>
                      <a:headEnd/>
                      <a:tailEnd/>
                    </a:ln>
                  </pic:spPr>
                </pic:pic>
              </a:graphicData>
            </a:graphic>
          </wp:anchor>
        </w:drawing>
      </w:r>
      <w:r w:rsidRPr="00E978C9">
        <w:rPr>
          <w:rFonts w:ascii="Times New Roman" w:eastAsia="方正黑体_GBK" w:hAnsi="Times New Roman" w:cs="Times New Roman" w:hint="eastAsia"/>
          <w:sz w:val="32"/>
          <w:szCs w:val="32"/>
        </w:rPr>
        <w:t>消防车通道出入口禁停标线及路面警示标志示例</w:t>
      </w:r>
    </w:p>
    <w:p w:rsidR="00923B03" w:rsidRPr="00E978C9" w:rsidRDefault="00923B03" w:rsidP="00923B03">
      <w:pPr>
        <w:spacing w:line="560" w:lineRule="exact"/>
        <w:ind w:firstLineChars="200" w:firstLine="640"/>
        <w:rPr>
          <w:rFonts w:ascii="Times New Roman" w:eastAsia="方正仿宋_GBK" w:hAnsi="Times New Roman" w:cs="Times New Roman"/>
          <w:color w:val="FF0000"/>
          <w:sz w:val="32"/>
          <w:szCs w:val="32"/>
        </w:rPr>
      </w:pPr>
      <w:r w:rsidRPr="00E978C9">
        <w:rPr>
          <w:rFonts w:ascii="Times New Roman" w:eastAsia="方正仿宋_GBK" w:hAnsi="Times New Roman" w:cs="Times New Roman" w:hint="eastAsia"/>
          <w:sz w:val="32"/>
          <w:szCs w:val="32"/>
        </w:rPr>
        <w:t>（五）在消防车通道两侧设置醒目的警示标牌，提示严禁占用消防车道，违者将承担相应法律责任等内容。警示标牌长宽不小于</w:t>
      </w:r>
      <w:r w:rsidRPr="00E978C9">
        <w:rPr>
          <w:rFonts w:ascii="Times New Roman" w:eastAsia="方正仿宋_GBK" w:hAnsi="Times New Roman" w:cs="Times New Roman"/>
          <w:sz w:val="32"/>
          <w:szCs w:val="32"/>
        </w:rPr>
        <w:t>1m</w:t>
      </w:r>
      <w:r w:rsidRPr="00E978C9">
        <w:rPr>
          <w:rFonts w:ascii="Times New Roman" w:eastAsia="方正仿宋_GBK" w:hAnsi="Times New Roman" w:cs="Times New Roman" w:hint="eastAsia"/>
          <w:sz w:val="32"/>
          <w:szCs w:val="32"/>
        </w:rPr>
        <w:t>×</w:t>
      </w:r>
      <w:r w:rsidRPr="00E978C9">
        <w:rPr>
          <w:rFonts w:ascii="Times New Roman" w:eastAsia="方正仿宋_GBK" w:hAnsi="Times New Roman" w:cs="Times New Roman"/>
          <w:sz w:val="32"/>
          <w:szCs w:val="32"/>
        </w:rPr>
        <w:t>0.6m</w:t>
      </w:r>
      <w:r w:rsidRPr="00E978C9">
        <w:rPr>
          <w:rFonts w:ascii="Times New Roman" w:eastAsia="方正仿宋_GBK" w:hAnsi="Times New Roman" w:cs="Times New Roman" w:hint="eastAsia"/>
          <w:sz w:val="32"/>
          <w:szCs w:val="32"/>
        </w:rPr>
        <w:t>（若受条件限制，无法满足醒目度要求，应按</w:t>
      </w:r>
      <w:r w:rsidRPr="00E978C9">
        <w:rPr>
          <w:rFonts w:ascii="Times New Roman" w:eastAsia="方正仿宋_GBK" w:hAnsi="Times New Roman" w:cs="Times New Roman"/>
          <w:sz w:val="32"/>
          <w:szCs w:val="32"/>
        </w:rPr>
        <w:t>5:3</w:t>
      </w:r>
      <w:r w:rsidRPr="00E978C9">
        <w:rPr>
          <w:rFonts w:ascii="Times New Roman" w:eastAsia="方正仿宋_GBK" w:hAnsi="Times New Roman" w:cs="Times New Roman" w:hint="eastAsia"/>
          <w:sz w:val="32"/>
          <w:szCs w:val="32"/>
        </w:rPr>
        <w:t>比例加大标志的尺寸），底边离地高度不低于</w:t>
      </w:r>
      <w:r w:rsidRPr="00E978C9">
        <w:rPr>
          <w:rFonts w:ascii="Times New Roman" w:eastAsia="方正仿宋_GBK" w:hAnsi="Times New Roman" w:cs="Times New Roman"/>
          <w:sz w:val="32"/>
          <w:szCs w:val="32"/>
        </w:rPr>
        <w:t>1.6m</w:t>
      </w:r>
      <w:r w:rsidRPr="00E978C9">
        <w:rPr>
          <w:rFonts w:ascii="Times New Roman" w:eastAsia="方正仿宋_GBK" w:hAnsi="Times New Roman" w:cs="Times New Roman" w:hint="eastAsia"/>
          <w:sz w:val="32"/>
          <w:szCs w:val="32"/>
        </w:rPr>
        <w:t>。</w:t>
      </w:r>
    </w:p>
    <w:p w:rsidR="00923B03" w:rsidRPr="00E978C9" w:rsidRDefault="00923B03" w:rsidP="00923B03">
      <w:pPr>
        <w:snapToGrid w:val="0"/>
        <w:spacing w:line="560" w:lineRule="exact"/>
        <w:jc w:val="center"/>
        <w:rPr>
          <w:rFonts w:ascii="Times New Roman" w:eastAsia="方正黑体_GBK" w:hAnsi="Times New Roman" w:cs="Times New Roman"/>
          <w:sz w:val="32"/>
          <w:szCs w:val="32"/>
        </w:rPr>
      </w:pPr>
      <w:r w:rsidRPr="00E978C9">
        <w:rPr>
          <w:rFonts w:ascii="Times New Roman" w:eastAsia="方正黑体_GBK" w:hAnsi="Times New Roman" w:cs="Times New Roman" w:hint="eastAsia"/>
          <w:sz w:val="32"/>
          <w:szCs w:val="32"/>
        </w:rPr>
        <w:t>消防车通道禁止占用警示牌示例</w:t>
      </w:r>
    </w:p>
    <w:p w:rsidR="00923B03" w:rsidRPr="00E978C9" w:rsidRDefault="00923B03" w:rsidP="00923B03">
      <w:pPr>
        <w:snapToGrid w:val="0"/>
        <w:spacing w:line="500" w:lineRule="exact"/>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57216" behindDoc="1" locked="0" layoutInCell="1" allowOverlap="0">
            <wp:simplePos x="0" y="0"/>
            <wp:positionH relativeFrom="column">
              <wp:posOffset>1708785</wp:posOffset>
            </wp:positionH>
            <wp:positionV relativeFrom="paragraph">
              <wp:posOffset>87630</wp:posOffset>
            </wp:positionV>
            <wp:extent cx="2203450" cy="1614805"/>
            <wp:effectExtent l="19050" t="0" r="6350" b="0"/>
            <wp:wrapTight wrapText="bothSides">
              <wp:wrapPolygon edited="0">
                <wp:start x="-187" y="0"/>
                <wp:lineTo x="-187" y="21405"/>
                <wp:lineTo x="21662" y="21405"/>
                <wp:lineTo x="21662" y="0"/>
                <wp:lineTo x="-187" y="0"/>
              </wp:wrapPolygon>
            </wp:wrapTight>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srcRect/>
                    <a:stretch>
                      <a:fillRect/>
                    </a:stretch>
                  </pic:blipFill>
                  <pic:spPr bwMode="auto">
                    <a:xfrm>
                      <a:off x="0" y="0"/>
                      <a:ext cx="2203450" cy="1614805"/>
                    </a:xfrm>
                    <a:prstGeom prst="rect">
                      <a:avLst/>
                    </a:prstGeom>
                    <a:noFill/>
                    <a:ln w="9525" cmpd="sng">
                      <a:noFill/>
                      <a:miter lim="800000"/>
                      <a:headEnd/>
                      <a:tailEnd/>
                    </a:ln>
                  </pic:spPr>
                </pic:pic>
              </a:graphicData>
            </a:graphic>
          </wp:anchor>
        </w:drawing>
      </w:r>
    </w:p>
    <w:p w:rsidR="00923B03" w:rsidRPr="00E978C9" w:rsidRDefault="00923B03" w:rsidP="00923B03">
      <w:pPr>
        <w:adjustRightInd w:val="0"/>
        <w:spacing w:line="480" w:lineRule="exact"/>
        <w:rPr>
          <w:rFonts w:ascii="Times New Roman" w:eastAsia="方正仿宋_GBK" w:hAnsi="Times New Roman" w:cs="Times New Roman"/>
          <w:sz w:val="32"/>
          <w:szCs w:val="32"/>
        </w:rPr>
      </w:pPr>
    </w:p>
    <w:p w:rsidR="00923B03" w:rsidRPr="00E978C9" w:rsidRDefault="00923B03" w:rsidP="00923B03">
      <w:pPr>
        <w:spacing w:line="590" w:lineRule="exact"/>
        <w:jc w:val="left"/>
        <w:rPr>
          <w:rFonts w:ascii="Times New Roman" w:eastAsia="方正仿宋_GBK" w:hAnsi="Times New Roman" w:cs="Times New Roman"/>
          <w:sz w:val="32"/>
          <w:szCs w:val="32"/>
        </w:rPr>
      </w:pPr>
    </w:p>
    <w:p w:rsidR="00923B03" w:rsidRPr="00E978C9" w:rsidRDefault="00923B03" w:rsidP="00923B03">
      <w:pPr>
        <w:widowControl/>
        <w:shd w:val="clear" w:color="auto" w:fill="FFFFFF"/>
        <w:spacing w:after="75" w:line="525" w:lineRule="atLeast"/>
        <w:jc w:val="left"/>
        <w:rPr>
          <w:rFonts w:ascii="微软雅黑" w:eastAsia="微软雅黑" w:hAnsi="微软雅黑" w:cs="微软雅黑"/>
          <w:color w:val="333333"/>
          <w:kern w:val="0"/>
          <w:sz w:val="27"/>
          <w:szCs w:val="27"/>
          <w:shd w:val="clear" w:color="auto" w:fill="FFFFFF"/>
        </w:rPr>
        <w:sectPr w:rsidR="00923B03" w:rsidRPr="00E978C9">
          <w:pgSz w:w="11906" w:h="16838"/>
          <w:pgMar w:top="1440" w:right="1440" w:bottom="1440" w:left="1440" w:header="851" w:footer="992" w:gutter="0"/>
          <w:cols w:space="720"/>
          <w:docGrid w:type="lines" w:linePitch="312"/>
        </w:sectPr>
      </w:pPr>
    </w:p>
    <w:p w:rsidR="00923B03" w:rsidRPr="00E978C9" w:rsidRDefault="00923B03" w:rsidP="00923B03">
      <w:pPr>
        <w:widowControl/>
        <w:shd w:val="clear" w:color="auto" w:fill="FFFFFF"/>
        <w:spacing w:after="75" w:line="525" w:lineRule="atLeast"/>
        <w:jc w:val="left"/>
        <w:rPr>
          <w:rFonts w:ascii="微软雅黑" w:eastAsia="微软雅黑" w:hAnsi="微软雅黑" w:cs="微软雅黑"/>
          <w:color w:val="333333"/>
          <w:kern w:val="0"/>
          <w:sz w:val="28"/>
          <w:szCs w:val="28"/>
          <w:shd w:val="clear" w:color="auto" w:fill="FFFFFF"/>
        </w:rPr>
      </w:pPr>
    </w:p>
    <w:tbl>
      <w:tblPr>
        <w:tblW w:w="14583" w:type="dxa"/>
        <w:jc w:val="center"/>
        <w:tblLayout w:type="fixed"/>
        <w:tblLook w:val="0000"/>
      </w:tblPr>
      <w:tblGrid>
        <w:gridCol w:w="510"/>
        <w:gridCol w:w="1203"/>
        <w:gridCol w:w="2424"/>
        <w:gridCol w:w="910"/>
        <w:gridCol w:w="876"/>
        <w:gridCol w:w="2595"/>
        <w:gridCol w:w="3644"/>
        <w:gridCol w:w="996"/>
        <w:gridCol w:w="1425"/>
      </w:tblGrid>
      <w:tr w:rsidR="00923B03" w:rsidRPr="00E978C9" w:rsidTr="00ED0637">
        <w:trPr>
          <w:trHeight w:val="615"/>
          <w:jc w:val="center"/>
        </w:trPr>
        <w:tc>
          <w:tcPr>
            <w:tcW w:w="14583" w:type="dxa"/>
            <w:gridSpan w:val="9"/>
            <w:tcBorders>
              <w:top w:val="nil"/>
              <w:left w:val="nil"/>
              <w:bottom w:val="nil"/>
              <w:right w:val="nil"/>
              <w:tl2br w:val="nil"/>
              <w:tr2bl w:val="nil"/>
            </w:tcBorders>
          </w:tcPr>
          <w:p w:rsidR="00923B03" w:rsidRPr="00E978C9" w:rsidRDefault="00923B03" w:rsidP="00ED0637">
            <w:pPr>
              <w:jc w:val="center"/>
              <w:rPr>
                <w:rFonts w:ascii="宋体" w:eastAsia="宋体" w:hAnsi="宋体" w:cs="Times New Roman"/>
                <w:color w:val="000000"/>
                <w:sz w:val="22"/>
                <w:szCs w:val="24"/>
              </w:rPr>
            </w:pPr>
            <w:r w:rsidRPr="00E978C9">
              <w:rPr>
                <w:rFonts w:ascii="宋体" w:eastAsia="宋体" w:hAnsi="宋体" w:cs="Times New Roman" w:hint="eastAsia"/>
                <w:b/>
                <w:color w:val="000000"/>
                <w:sz w:val="32"/>
                <w:szCs w:val="24"/>
              </w:rPr>
              <w:t>消防划线报价单</w:t>
            </w:r>
          </w:p>
        </w:tc>
      </w:tr>
      <w:tr w:rsidR="00923B03" w:rsidRPr="00E978C9" w:rsidTr="00ED0637">
        <w:trPr>
          <w:trHeight w:val="640"/>
          <w:jc w:val="center"/>
        </w:trPr>
        <w:tc>
          <w:tcPr>
            <w:tcW w:w="5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序号</w:t>
            </w:r>
          </w:p>
        </w:tc>
        <w:tc>
          <w:tcPr>
            <w:tcW w:w="1203"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类别</w:t>
            </w:r>
          </w:p>
        </w:tc>
        <w:tc>
          <w:tcPr>
            <w:tcW w:w="242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图样</w:t>
            </w:r>
          </w:p>
        </w:tc>
        <w:tc>
          <w:tcPr>
            <w:tcW w:w="9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数量</w:t>
            </w:r>
          </w:p>
        </w:tc>
        <w:tc>
          <w:tcPr>
            <w:tcW w:w="87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单位</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尺寸</w:t>
            </w:r>
          </w:p>
        </w:tc>
        <w:tc>
          <w:tcPr>
            <w:tcW w:w="364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工艺</w:t>
            </w:r>
          </w:p>
        </w:tc>
        <w:tc>
          <w:tcPr>
            <w:tcW w:w="99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单价（元）</w:t>
            </w:r>
          </w:p>
        </w:tc>
        <w:tc>
          <w:tcPr>
            <w:tcW w:w="142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思源黑体 CN Bold" w:eastAsia="思源黑体 CN Bold" w:hAnsi="思源黑体 CN Bold" w:cs="Times New Roman"/>
                <w:color w:val="000000"/>
                <w:sz w:val="20"/>
                <w:szCs w:val="24"/>
              </w:rPr>
            </w:pPr>
            <w:r w:rsidRPr="00E978C9">
              <w:rPr>
                <w:rFonts w:ascii="思源黑体 CN Bold" w:eastAsia="思源黑体 CN Bold" w:hAnsi="思源黑体 CN Bold" w:cs="Times New Roman" w:hint="eastAsia"/>
                <w:color w:val="000000"/>
                <w:sz w:val="20"/>
                <w:szCs w:val="24"/>
              </w:rPr>
              <w:t>金额（元）</w:t>
            </w:r>
          </w:p>
        </w:tc>
      </w:tr>
      <w:tr w:rsidR="00923B03" w:rsidRPr="00E978C9" w:rsidTr="00ED0637">
        <w:trPr>
          <w:trHeight w:val="1713"/>
          <w:jc w:val="center"/>
        </w:trPr>
        <w:tc>
          <w:tcPr>
            <w:tcW w:w="5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w:t>
            </w:r>
          </w:p>
        </w:tc>
        <w:tc>
          <w:tcPr>
            <w:tcW w:w="1203"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网格</w:t>
            </w:r>
          </w:p>
        </w:tc>
        <w:tc>
          <w:tcPr>
            <w:tcW w:w="242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Pr>
                <w:rFonts w:ascii="Calibri" w:eastAsia="宋体" w:hAnsi="Calibri" w:cs="Times New Roman"/>
                <w:noProof/>
                <w:szCs w:val="24"/>
              </w:rPr>
              <w:drawing>
                <wp:inline distT="0" distB="0" distL="0" distR="0">
                  <wp:extent cx="1371600" cy="628650"/>
                  <wp:effectExtent l="19050" t="0" r="0" b="0"/>
                  <wp:docPr id="21" name="图片 3" descr="45f96a6d99a3cfd279804c5b1b6ea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5f96a6d99a3cfd279804c5b1b6eac3"/>
                          <pic:cNvPicPr>
                            <a:picLocks noChangeAspect="1" noChangeArrowheads="1"/>
                          </pic:cNvPicPr>
                        </pic:nvPicPr>
                        <pic:blipFill>
                          <a:blip r:embed="rId9" cstate="print"/>
                          <a:srcRect/>
                          <a:stretch>
                            <a:fillRect/>
                          </a:stretch>
                        </pic:blipFill>
                        <pic:spPr bwMode="auto">
                          <a:xfrm>
                            <a:off x="0" y="0"/>
                            <a:ext cx="1371600" cy="628650"/>
                          </a:xfrm>
                          <a:prstGeom prst="rect">
                            <a:avLst/>
                          </a:prstGeom>
                          <a:noFill/>
                          <a:ln w="9525">
                            <a:noFill/>
                            <a:miter lim="800000"/>
                            <a:headEnd/>
                            <a:tailEnd/>
                          </a:ln>
                          <a:effectLst/>
                        </pic:spPr>
                      </pic:pic>
                    </a:graphicData>
                  </a:graphic>
                </wp:inline>
              </w:drawing>
            </w:r>
          </w:p>
        </w:tc>
        <w:tc>
          <w:tcPr>
            <w:tcW w:w="9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199</w:t>
            </w:r>
          </w:p>
        </w:tc>
        <w:tc>
          <w:tcPr>
            <w:tcW w:w="87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米</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5000*5000mm（具体以现场路宽而定），线宽150mm，厚度1-1.2mm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1、道路特种热熔漆</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2、按行业标准，保证整体效果美观</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3、根据消防要求比例调整框子大小，保证颜色    鲜艳醒目</w:t>
            </w:r>
          </w:p>
        </w:tc>
        <w:tc>
          <w:tcPr>
            <w:tcW w:w="996"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 xml:space="preserve"> </w:t>
            </w:r>
          </w:p>
        </w:tc>
      </w:tr>
      <w:tr w:rsidR="00923B03" w:rsidRPr="00E978C9" w:rsidTr="00ED0637">
        <w:trPr>
          <w:trHeight w:val="1754"/>
          <w:jc w:val="center"/>
        </w:trPr>
        <w:tc>
          <w:tcPr>
            <w:tcW w:w="5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w:t>
            </w:r>
          </w:p>
        </w:tc>
        <w:tc>
          <w:tcPr>
            <w:tcW w:w="1203"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方框</w:t>
            </w:r>
          </w:p>
        </w:tc>
        <w:tc>
          <w:tcPr>
            <w:tcW w:w="242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Pr>
                <w:rFonts w:ascii="Calibri" w:eastAsia="宋体" w:hAnsi="Calibri" w:cs="Times New Roman"/>
                <w:noProof/>
                <w:szCs w:val="24"/>
              </w:rPr>
              <w:drawing>
                <wp:inline distT="0" distB="0" distL="0" distR="0">
                  <wp:extent cx="1362075" cy="685800"/>
                  <wp:effectExtent l="19050" t="0" r="9525" b="0"/>
                  <wp:docPr id="22" name="图片 5" descr="30db705ed619ae3cc5b50cb7dbf1c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30db705ed619ae3cc5b50cb7dbf1c9c"/>
                          <pic:cNvPicPr>
                            <a:picLocks noChangeAspect="1" noChangeArrowheads="1"/>
                          </pic:cNvPicPr>
                        </pic:nvPicPr>
                        <pic:blipFill>
                          <a:blip r:embed="rId10" cstate="print"/>
                          <a:srcRect/>
                          <a:stretch>
                            <a:fillRect/>
                          </a:stretch>
                        </pic:blipFill>
                        <pic:spPr bwMode="auto">
                          <a:xfrm>
                            <a:off x="0" y="0"/>
                            <a:ext cx="1362075" cy="685800"/>
                          </a:xfrm>
                          <a:prstGeom prst="rect">
                            <a:avLst/>
                          </a:prstGeom>
                          <a:noFill/>
                          <a:ln w="9525">
                            <a:noFill/>
                            <a:miter lim="800000"/>
                            <a:headEnd/>
                            <a:tailEnd/>
                          </a:ln>
                          <a:effectLst/>
                        </pic:spPr>
                      </pic:pic>
                    </a:graphicData>
                  </a:graphic>
                </wp:inline>
              </w:drawing>
            </w:r>
          </w:p>
        </w:tc>
        <w:tc>
          <w:tcPr>
            <w:tcW w:w="9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350</w:t>
            </w:r>
          </w:p>
        </w:tc>
        <w:tc>
          <w:tcPr>
            <w:tcW w:w="87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米</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3000*4000mm（具体以现场路宽而定），线宽150mm，厚度1-1.2mm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1、道路特种热熔漆</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2、按行业标准，保证整体效果美观</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3、根据消防要求比例调整框子大小，保证颜色    鲜艳醒目</w:t>
            </w:r>
          </w:p>
        </w:tc>
        <w:tc>
          <w:tcPr>
            <w:tcW w:w="996"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r>
      <w:tr w:rsidR="00923B03" w:rsidRPr="00E978C9" w:rsidTr="00ED0637">
        <w:trPr>
          <w:trHeight w:val="1677"/>
          <w:jc w:val="center"/>
        </w:trPr>
        <w:tc>
          <w:tcPr>
            <w:tcW w:w="510" w:type="dxa"/>
            <w:tcBorders>
              <w:top w:val="single" w:sz="6" w:space="0" w:color="auto"/>
              <w:left w:val="single" w:sz="6" w:space="0" w:color="auto"/>
              <w:bottom w:val="nil"/>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w:t>
            </w:r>
          </w:p>
        </w:tc>
        <w:tc>
          <w:tcPr>
            <w:tcW w:w="1203" w:type="dxa"/>
            <w:tcBorders>
              <w:top w:val="single" w:sz="6" w:space="0" w:color="auto"/>
              <w:left w:val="single" w:sz="6" w:space="0" w:color="auto"/>
              <w:bottom w:val="nil"/>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登高点</w:t>
            </w:r>
          </w:p>
        </w:tc>
        <w:tc>
          <w:tcPr>
            <w:tcW w:w="2424" w:type="dxa"/>
            <w:tcBorders>
              <w:top w:val="single" w:sz="6" w:space="0" w:color="auto"/>
              <w:left w:val="nil"/>
              <w:bottom w:val="nil"/>
              <w:right w:val="nil"/>
              <w:tl2br w:val="nil"/>
              <w:tr2bl w:val="nil"/>
            </w:tcBorders>
            <w:vAlign w:val="center"/>
          </w:tcPr>
          <w:p w:rsidR="00923B03" w:rsidRPr="00E978C9" w:rsidRDefault="000A731B" w:rsidP="00ED0637">
            <w:pPr>
              <w:jc w:val="center"/>
              <w:rPr>
                <w:rFonts w:ascii="宋体" w:eastAsia="宋体" w:hAnsi="宋体" w:cs="Times New Roman"/>
                <w:color w:val="000000"/>
                <w:sz w:val="20"/>
                <w:szCs w:val="24"/>
              </w:rPr>
            </w:pPr>
            <w:r w:rsidRPr="000A731B">
              <w:rPr>
                <w:rFonts w:ascii="Calibri" w:eastAsia="宋体" w:hAnsi="Calibri" w:cs="Times New Roman"/>
                <w:szCs w:val="24"/>
              </w:rPr>
              <w:pict>
                <v:group id="_x0000_s2055" style="position:absolute;left:0;text-align:left;margin-left:-.65pt;margin-top:11.7pt;width:111.3pt;height:39.85pt;z-index:251658240;mso-position-horizontal-relative:text;mso-position-vertical-relative:text" coordorigin="1814,3836" coordsize="2226,797" o:gfxdata="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yRPwfdUAAAAEAQAADwAAAAAAAAABACAAAAAiAAAA&#10;ZHJzL2Rvd25yZXYueG1sUEsBAhQAFAAAAAgAh07iQEGDk1/uAgAAhQgAAA4AAAAAAAAAAQAgAAAA&#10;JAEAAGRycy9lMm9Eb2MueG1sUEsFBgAAAAAGAAYAWQEAAIQGAAAAAA==&#10;">
                  <v:rect id="矩形 3" o:spid="_x0000_s2056" style="position:absolute;left:1814;top:3836;width:2226;height:797" strokecolor="#ffc000" strokeweight="2pt">
                    <v:stroke joinstyle="round"/>
                  </v:rect>
                  <v:line id="直接连接符 7" o:spid="_x0000_s2057" style="position:absolute;flip:y" from="1825,3881" to="4031,4633" strokecolor="#ffc000">
                    <v:fill o:detectmouseclick="t"/>
                  </v:line>
                  <v:line id="直接连接符 8" o:spid="_x0000_s2058" style="position:absolute" from="1814,3836" to="4011,4612" strokecolor="#ffc000">
                    <v:fill o:detectmouseclick="t"/>
                  </v:line>
                </v:group>
              </w:pict>
            </w:r>
            <w:r w:rsidRPr="000A731B">
              <w:rPr>
                <w:rFonts w:ascii="Calibri" w:eastAsia="宋体" w:hAnsi="Calibri" w:cs="Times New Roman"/>
                <w:szCs w:val="24"/>
              </w:rPr>
              <w:pict>
                <v:group id="组合 5" o:spid="_x0000_s2050" style="position:absolute;left:0;text-align:left;margin-left:-.65pt;margin-top:12.35pt;width:111.3pt;height:39.85pt;z-index:251659264;mso-position-horizontal-relative:text;mso-position-vertical-relative:text" coordorigin="1814,3836" coordsize="2226,797" o:gfxdata="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yRPwfdUAAAAEAQAADwAAAAAAAAABACAAAAAiAAAA&#10;ZHJzL2Rvd25yZXYueG1sUEsBAhQAFAAAAAgAh07iQEGDk1/uAgAAhQgAAA4AAAAAAAAAAQAgAAAA&#10;JAEAAGRycy9lMm9Eb2MueG1sUEsFBgAAAAAGAAYAWQEAAIQGAAAAAA==&#10;">
                  <v:rect id="矩形 3" o:spid="_x0000_s2051" style="position:absolute;left:1814;top:3836;width:2226;height:797" strokecolor="#ffc000" strokeweight="2pt">
                    <v:stroke joinstyle="round"/>
                  </v:rect>
                  <v:line id="直接连接符 7" o:spid="_x0000_s2052" style="position:absolute;flip:y" from="1825,3881" to="4031,4633" strokecolor="#ffc000">
                    <v:fill o:detectmouseclick="t"/>
                  </v:line>
                  <v:line id="直接连接符 8" o:spid="_x0000_s2053" style="position:absolute" from="1814,3836" to="4011,4612" strokecolor="#ffc000">
                    <v:fill o:detectmouseclick="t"/>
                  </v:line>
                </v:group>
              </w:pict>
            </w:r>
          </w:p>
        </w:tc>
        <w:tc>
          <w:tcPr>
            <w:tcW w:w="9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88</w:t>
            </w:r>
          </w:p>
        </w:tc>
        <w:tc>
          <w:tcPr>
            <w:tcW w:w="876"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米</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15000*7000mm（具体以现场路宽而定），线宽150mm，厚度1-1.2mm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1、道路特种热熔漆</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2、按行业标准，保证整体效果美观</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3、根据消防要求比例调整框子大小，保证颜色    鲜艳醒目</w:t>
            </w:r>
          </w:p>
        </w:tc>
        <w:tc>
          <w:tcPr>
            <w:tcW w:w="996" w:type="dxa"/>
            <w:tcBorders>
              <w:top w:val="single" w:sz="6" w:space="0" w:color="auto"/>
              <w:left w:val="nil"/>
              <w:bottom w:val="single" w:sz="6" w:space="0" w:color="auto"/>
              <w:right w:val="nil"/>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r>
      <w:tr w:rsidR="00923B03" w:rsidRPr="00E978C9" w:rsidTr="00ED0637">
        <w:trPr>
          <w:trHeight w:val="1637"/>
          <w:jc w:val="center"/>
        </w:trPr>
        <w:tc>
          <w:tcPr>
            <w:tcW w:w="510" w:type="dxa"/>
            <w:tcBorders>
              <w:top w:val="single" w:sz="6" w:space="0" w:color="auto"/>
              <w:left w:val="single" w:sz="6" w:space="0" w:color="auto"/>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4</w:t>
            </w:r>
          </w:p>
        </w:tc>
        <w:tc>
          <w:tcPr>
            <w:tcW w:w="1203"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边缘线</w:t>
            </w:r>
          </w:p>
        </w:tc>
        <w:tc>
          <w:tcPr>
            <w:tcW w:w="2424" w:type="dxa"/>
            <w:tcBorders>
              <w:top w:val="single" w:sz="6" w:space="0" w:color="auto"/>
              <w:left w:val="nil"/>
              <w:bottom w:val="single" w:sz="6" w:space="0" w:color="auto"/>
              <w:right w:val="nil"/>
              <w:tl2br w:val="nil"/>
              <w:tr2bl w:val="nil"/>
            </w:tcBorders>
            <w:vAlign w:val="center"/>
          </w:tcPr>
          <w:p w:rsidR="00923B03" w:rsidRPr="00E978C9" w:rsidRDefault="000A731B" w:rsidP="00ED0637">
            <w:pPr>
              <w:jc w:val="center"/>
              <w:rPr>
                <w:rFonts w:ascii="宋体" w:eastAsia="宋体" w:hAnsi="宋体" w:cs="Times New Roman"/>
                <w:color w:val="000000"/>
                <w:sz w:val="20"/>
                <w:szCs w:val="24"/>
              </w:rPr>
            </w:pPr>
            <w:r w:rsidRPr="000A731B">
              <w:rPr>
                <w:rFonts w:ascii="Calibri" w:eastAsia="宋体" w:hAnsi="Calibri" w:cs="Times New Roman"/>
                <w:szCs w:val="24"/>
              </w:rPr>
              <w:pict>
                <v:rect id="矩形 13" o:spid="_x0000_s2054" style="position:absolute;left:0;text-align:left;margin-left:-1.3pt;margin-top:29.2pt;width:110.6pt;height:14.1pt;z-index:251660288;mso-position-horizontal-relative:text;mso-position-vertical-relative:text" fillcolor="#ffc000" strokecolor="#ffc000" strokeweight="2pt">
                  <v:stroke joinstyle="round"/>
                </v:rect>
              </w:pict>
            </w:r>
          </w:p>
        </w:tc>
        <w:tc>
          <w:tcPr>
            <w:tcW w:w="910"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1800</w:t>
            </w:r>
          </w:p>
        </w:tc>
        <w:tc>
          <w:tcPr>
            <w:tcW w:w="876"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米</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线宽150mm，厚度1-1.2mm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1、道路特种热熔漆</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2、按行业标准，保证整体效果美观</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3、根据消防要求比例调整框子大小，保证颜色    鲜艳醒目</w:t>
            </w:r>
          </w:p>
        </w:tc>
        <w:tc>
          <w:tcPr>
            <w:tcW w:w="996" w:type="dxa"/>
            <w:tcBorders>
              <w:top w:val="single" w:sz="6" w:space="0" w:color="auto"/>
              <w:left w:val="single" w:sz="6" w:space="0" w:color="auto"/>
              <w:bottom w:val="single" w:sz="6" w:space="0" w:color="auto"/>
              <w:right w:val="single" w:sz="6" w:space="0" w:color="auto"/>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cBorders>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 xml:space="preserve"> </w:t>
            </w:r>
          </w:p>
        </w:tc>
      </w:tr>
      <w:tr w:rsidR="00923B03" w:rsidRPr="00E978C9" w:rsidTr="00ED0637">
        <w:trPr>
          <w:trHeight w:val="1160"/>
          <w:jc w:val="center"/>
        </w:trPr>
        <w:tc>
          <w:tcPr>
            <w:tcW w:w="510"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lastRenderedPageBreak/>
              <w:t>5</w:t>
            </w:r>
          </w:p>
        </w:tc>
        <w:tc>
          <w:tcPr>
            <w:tcW w:w="1203"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喷字</w:t>
            </w:r>
          </w:p>
        </w:tc>
        <w:tc>
          <w:tcPr>
            <w:tcW w:w="2424"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Pr>
                <w:rFonts w:ascii="Calibri" w:eastAsia="宋体" w:hAnsi="Calibri" w:cs="Times New Roman"/>
                <w:noProof/>
                <w:szCs w:val="24"/>
              </w:rPr>
              <w:drawing>
                <wp:inline distT="0" distB="0" distL="0" distR="0">
                  <wp:extent cx="1524000" cy="676275"/>
                  <wp:effectExtent l="19050" t="0" r="0" b="0"/>
                  <wp:docPr id="23" name="图片 2" descr="8995a0fb0c185727eaa7f3c7ff6c6e7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8995a0fb0c185727eaa7f3c7ff6c6e7_看图王"/>
                          <pic:cNvPicPr>
                            <a:picLocks noChangeAspect="1" noChangeArrowheads="1"/>
                          </pic:cNvPicPr>
                        </pic:nvPicPr>
                        <pic:blipFill>
                          <a:blip r:embed="rId11" cstate="print"/>
                          <a:srcRect/>
                          <a:stretch>
                            <a:fillRect/>
                          </a:stretch>
                        </pic:blipFill>
                        <pic:spPr bwMode="auto">
                          <a:xfrm>
                            <a:off x="0" y="0"/>
                            <a:ext cx="1524000" cy="676275"/>
                          </a:xfrm>
                          <a:prstGeom prst="rect">
                            <a:avLst/>
                          </a:prstGeom>
                          <a:noFill/>
                          <a:ln w="9525">
                            <a:noFill/>
                            <a:miter lim="800000"/>
                            <a:headEnd/>
                            <a:tailEnd/>
                          </a:ln>
                          <a:effectLst/>
                        </pic:spPr>
                      </pic:pic>
                    </a:graphicData>
                  </a:graphic>
                </wp:inline>
              </w:drawing>
            </w:r>
          </w:p>
        </w:tc>
        <w:tc>
          <w:tcPr>
            <w:tcW w:w="910" w:type="dxa"/>
            <w:tcBorders>
              <w:top w:val="single" w:sz="6" w:space="0" w:color="auto"/>
              <w:left w:val="single" w:sz="6" w:space="0" w:color="auto"/>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18</w:t>
            </w:r>
          </w:p>
        </w:tc>
        <w:tc>
          <w:tcPr>
            <w:tcW w:w="87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组</w:t>
            </w:r>
          </w:p>
        </w:tc>
        <w:tc>
          <w:tcPr>
            <w:tcW w:w="2595"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字500*500mm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1、道路特种热熔漆</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2、按行业标准，保证整体效果美观</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3、根据消防要求比例调整框子大小，保证颜色    鲜艳醒目</w:t>
            </w:r>
          </w:p>
        </w:tc>
        <w:tc>
          <w:tcPr>
            <w:tcW w:w="996" w:type="dxa"/>
            <w:tcBorders>
              <w:top w:val="single" w:sz="6" w:space="0" w:color="auto"/>
              <w:left w:val="nil"/>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r>
      <w:tr w:rsidR="00923B03" w:rsidRPr="00E978C9" w:rsidTr="00ED0637">
        <w:trPr>
          <w:trHeight w:val="1429"/>
          <w:jc w:val="center"/>
        </w:trPr>
        <w:tc>
          <w:tcPr>
            <w:tcW w:w="510" w:type="dxa"/>
            <w:tcBorders>
              <w:top w:val="single" w:sz="6" w:space="0" w:color="auto"/>
              <w:left w:val="single" w:sz="6" w:space="0" w:color="auto"/>
              <w:bottom w:val="single" w:sz="6" w:space="0" w:color="auto"/>
              <w:right w:val="single" w:sz="6" w:space="0" w:color="auto"/>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6</w:t>
            </w:r>
          </w:p>
        </w:tc>
        <w:tc>
          <w:tcPr>
            <w:tcW w:w="1203"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消防通道指示牌</w:t>
            </w:r>
          </w:p>
        </w:tc>
        <w:tc>
          <w:tcPr>
            <w:tcW w:w="242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Pr>
                <w:rFonts w:ascii="Calibri" w:eastAsia="宋体" w:hAnsi="Calibri" w:cs="Times New Roman"/>
                <w:noProof/>
                <w:szCs w:val="24"/>
              </w:rPr>
              <w:drawing>
                <wp:inline distT="0" distB="0" distL="0" distR="0">
                  <wp:extent cx="1333500" cy="695325"/>
                  <wp:effectExtent l="19050" t="0" r="0" b="0"/>
                  <wp:docPr id="24" name="图片 7" descr="2345_image_file_copy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2345_image_file_copy_2"/>
                          <pic:cNvPicPr>
                            <a:picLocks noChangeAspect="1" noChangeArrowheads="1"/>
                          </pic:cNvPicPr>
                        </pic:nvPicPr>
                        <pic:blipFill>
                          <a:blip r:embed="rId12" cstate="print"/>
                          <a:srcRect/>
                          <a:stretch>
                            <a:fillRect/>
                          </a:stretch>
                        </pic:blipFill>
                        <pic:spPr bwMode="auto">
                          <a:xfrm>
                            <a:off x="0" y="0"/>
                            <a:ext cx="1333500" cy="695325"/>
                          </a:xfrm>
                          <a:prstGeom prst="rect">
                            <a:avLst/>
                          </a:prstGeom>
                          <a:noFill/>
                          <a:ln w="9525">
                            <a:noFill/>
                            <a:miter lim="800000"/>
                            <a:headEnd/>
                            <a:tailEnd/>
                          </a:ln>
                          <a:effectLst/>
                        </pic:spPr>
                      </pic:pic>
                    </a:graphicData>
                  </a:graphic>
                </wp:inline>
              </w:drawing>
            </w:r>
          </w:p>
        </w:tc>
        <w:tc>
          <w:tcPr>
            <w:tcW w:w="9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12</w:t>
            </w:r>
          </w:p>
        </w:tc>
        <w:tc>
          <w:tcPr>
            <w:tcW w:w="876"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套</w:t>
            </w:r>
          </w:p>
        </w:tc>
        <w:tc>
          <w:tcPr>
            <w:tcW w:w="2595"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每块长1000mm</w:t>
            </w:r>
          </w:p>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宽600mm</w:t>
            </w:r>
          </w:p>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厚1.5mm</w:t>
            </w:r>
          </w:p>
        </w:tc>
        <w:tc>
          <w:tcPr>
            <w:tcW w:w="3644"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1、优质铝板、抗老化反光膜</w:t>
            </w:r>
          </w:p>
          <w:p w:rsidR="00923B03" w:rsidRPr="00E978C9" w:rsidRDefault="00923B03" w:rsidP="00ED0637">
            <w:pPr>
              <w:jc w:val="left"/>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 xml:space="preserve">2、安装牢固 </w:t>
            </w:r>
          </w:p>
        </w:tc>
        <w:tc>
          <w:tcPr>
            <w:tcW w:w="996"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r>
      <w:tr w:rsidR="00923B03" w:rsidRPr="00E978C9" w:rsidTr="00ED0637">
        <w:trPr>
          <w:trHeight w:val="609"/>
          <w:jc w:val="center"/>
        </w:trPr>
        <w:tc>
          <w:tcPr>
            <w:tcW w:w="510"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r w:rsidRPr="00E978C9">
              <w:rPr>
                <w:rFonts w:ascii="宋体" w:eastAsia="宋体" w:hAnsi="宋体" w:cs="Times New Roman" w:hint="eastAsia"/>
                <w:color w:val="000000"/>
                <w:sz w:val="20"/>
                <w:szCs w:val="24"/>
              </w:rPr>
              <w:t>7</w:t>
            </w:r>
          </w:p>
        </w:tc>
        <w:tc>
          <w:tcPr>
            <w:tcW w:w="1203"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p>
        </w:tc>
        <w:tc>
          <w:tcPr>
            <w:tcW w:w="2424" w:type="dxa"/>
            <w:tcBorders>
              <w:top w:val="single" w:sz="6" w:space="0" w:color="auto"/>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b/>
                <w:color w:val="000000"/>
                <w:sz w:val="20"/>
                <w:szCs w:val="24"/>
              </w:rPr>
            </w:pPr>
            <w:r>
              <w:rPr>
                <w:rFonts w:ascii="宋体" w:eastAsia="宋体" w:hAnsi="宋体" w:cs="Times New Roman" w:hint="eastAsia"/>
                <w:b/>
                <w:color w:val="000000"/>
                <w:sz w:val="20"/>
                <w:szCs w:val="24"/>
              </w:rPr>
              <w:t>总价</w:t>
            </w:r>
          </w:p>
        </w:tc>
        <w:tc>
          <w:tcPr>
            <w:tcW w:w="910"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p>
        </w:tc>
        <w:tc>
          <w:tcPr>
            <w:tcW w:w="876"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p>
        </w:tc>
        <w:tc>
          <w:tcPr>
            <w:tcW w:w="2595" w:type="dxa"/>
            <w:tcBorders>
              <w:top w:val="single" w:sz="6" w:space="0" w:color="auto"/>
              <w:left w:val="nil"/>
              <w:bottom w:val="single" w:sz="6" w:space="0" w:color="auto"/>
              <w:right w:val="nil"/>
              <w:tl2br w:val="nil"/>
              <w:tr2bl w:val="nil"/>
            </w:tcBorders>
            <w:vAlign w:val="center"/>
          </w:tcPr>
          <w:p w:rsidR="00923B03" w:rsidRPr="00E978C9" w:rsidRDefault="00923B03" w:rsidP="00ED0637">
            <w:pPr>
              <w:jc w:val="center"/>
              <w:rPr>
                <w:rFonts w:ascii="宋体" w:eastAsia="宋体" w:hAnsi="宋体" w:cs="Times New Roman"/>
                <w:color w:val="000000"/>
                <w:sz w:val="20"/>
                <w:szCs w:val="24"/>
              </w:rPr>
            </w:pPr>
          </w:p>
        </w:tc>
        <w:tc>
          <w:tcPr>
            <w:tcW w:w="3644" w:type="dxa"/>
            <w:tcBorders>
              <w:top w:val="single" w:sz="6" w:space="0" w:color="auto"/>
              <w:left w:val="nil"/>
              <w:bottom w:val="single" w:sz="6" w:space="0" w:color="auto"/>
              <w:right w:val="nil"/>
              <w:tl2br w:val="nil"/>
              <w:tr2bl w:val="nil"/>
            </w:tcBorders>
          </w:tcPr>
          <w:p w:rsidR="00923B03" w:rsidRPr="00E978C9" w:rsidRDefault="00923B03" w:rsidP="00ED0637">
            <w:pPr>
              <w:jc w:val="right"/>
              <w:rPr>
                <w:rFonts w:ascii="宋体" w:eastAsia="宋体" w:hAnsi="宋体" w:cs="Times New Roman"/>
                <w:color w:val="000000"/>
                <w:sz w:val="20"/>
                <w:szCs w:val="24"/>
              </w:rPr>
            </w:pPr>
          </w:p>
        </w:tc>
        <w:tc>
          <w:tcPr>
            <w:tcW w:w="996"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color w:val="000000"/>
                <w:sz w:val="20"/>
                <w:szCs w:val="24"/>
              </w:rPr>
            </w:pPr>
          </w:p>
        </w:tc>
        <w:tc>
          <w:tcPr>
            <w:tcW w:w="1425" w:type="dxa"/>
            <w:tcBorders>
              <w:top w:val="single" w:sz="6" w:space="0" w:color="auto"/>
              <w:left w:val="single" w:sz="6" w:space="0" w:color="auto"/>
              <w:bottom w:val="single" w:sz="6" w:space="0" w:color="auto"/>
              <w:right w:val="single" w:sz="6" w:space="0" w:color="auto"/>
              <w:tl2br w:val="nil"/>
              <w:tr2bl w:val="nil"/>
            </w:tcBorders>
          </w:tcPr>
          <w:p w:rsidR="00923B03" w:rsidRPr="00E978C9" w:rsidRDefault="00923B03" w:rsidP="00ED0637">
            <w:pPr>
              <w:jc w:val="center"/>
              <w:rPr>
                <w:rFonts w:ascii="宋体" w:eastAsia="宋体" w:hAnsi="宋体" w:cs="Times New Roman"/>
                <w:b/>
                <w:color w:val="000000"/>
                <w:sz w:val="20"/>
                <w:szCs w:val="24"/>
              </w:rPr>
            </w:pPr>
          </w:p>
        </w:tc>
      </w:tr>
      <w:tr w:rsidR="00923B03" w:rsidRPr="00E978C9" w:rsidTr="00ED0637">
        <w:trPr>
          <w:trHeight w:val="691"/>
          <w:jc w:val="center"/>
        </w:trPr>
        <w:tc>
          <w:tcPr>
            <w:tcW w:w="510" w:type="dxa"/>
            <w:tcBorders>
              <w:top w:val="nil"/>
              <w:left w:val="single" w:sz="6" w:space="0" w:color="auto"/>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2"/>
                <w:szCs w:val="24"/>
              </w:rPr>
            </w:pPr>
            <w:r w:rsidRPr="00E978C9">
              <w:rPr>
                <w:rFonts w:ascii="宋体" w:eastAsia="宋体" w:hAnsi="宋体" w:cs="Times New Roman" w:hint="eastAsia"/>
                <w:color w:val="000000"/>
                <w:sz w:val="22"/>
                <w:szCs w:val="24"/>
              </w:rPr>
              <w:t>8</w:t>
            </w:r>
          </w:p>
        </w:tc>
        <w:tc>
          <w:tcPr>
            <w:tcW w:w="1203" w:type="dxa"/>
            <w:tcBorders>
              <w:top w:val="nil"/>
              <w:left w:val="nil"/>
              <w:bottom w:val="single" w:sz="6" w:space="0" w:color="auto"/>
              <w:right w:val="single" w:sz="6" w:space="0" w:color="auto"/>
              <w:tl2br w:val="nil"/>
              <w:tr2bl w:val="nil"/>
            </w:tcBorders>
            <w:vAlign w:val="center"/>
          </w:tcPr>
          <w:p w:rsidR="00923B03" w:rsidRPr="00E978C9" w:rsidRDefault="00923B03" w:rsidP="00ED0637">
            <w:pPr>
              <w:jc w:val="center"/>
              <w:rPr>
                <w:rFonts w:ascii="宋体" w:eastAsia="宋体" w:hAnsi="宋体" w:cs="Times New Roman"/>
                <w:color w:val="000000"/>
                <w:sz w:val="22"/>
                <w:szCs w:val="24"/>
              </w:rPr>
            </w:pPr>
            <w:r w:rsidRPr="00E978C9">
              <w:rPr>
                <w:rFonts w:ascii="宋体" w:eastAsia="宋体" w:hAnsi="宋体" w:cs="Times New Roman" w:hint="eastAsia"/>
                <w:color w:val="000000"/>
                <w:sz w:val="22"/>
                <w:szCs w:val="24"/>
              </w:rPr>
              <w:t>备注</w:t>
            </w:r>
          </w:p>
        </w:tc>
        <w:tc>
          <w:tcPr>
            <w:tcW w:w="12870" w:type="dxa"/>
            <w:gridSpan w:val="7"/>
            <w:tcBorders>
              <w:top w:val="nil"/>
              <w:left w:val="nil"/>
              <w:bottom w:val="single" w:sz="6" w:space="0" w:color="auto"/>
              <w:right w:val="single" w:sz="6" w:space="0" w:color="auto"/>
              <w:tl2br w:val="nil"/>
              <w:tr2bl w:val="nil"/>
            </w:tcBorders>
            <w:vAlign w:val="center"/>
          </w:tcPr>
          <w:p w:rsidR="00923B03" w:rsidRPr="00E978C9" w:rsidRDefault="00923B03" w:rsidP="00ED0637">
            <w:pPr>
              <w:rPr>
                <w:rFonts w:ascii="宋体" w:eastAsia="宋体" w:hAnsi="宋体" w:cs="Times New Roman"/>
                <w:b/>
                <w:color w:val="000000"/>
                <w:sz w:val="22"/>
                <w:szCs w:val="24"/>
              </w:rPr>
            </w:pPr>
            <w:r>
              <w:rPr>
                <w:rFonts w:ascii="宋体" w:eastAsia="宋体" w:hAnsi="宋体" w:cs="Times New Roman" w:hint="eastAsia"/>
                <w:b/>
                <w:color w:val="000000"/>
                <w:sz w:val="22"/>
                <w:szCs w:val="24"/>
              </w:rPr>
              <w:t>本报价含所有内容不再增加其他费用。</w:t>
            </w:r>
          </w:p>
        </w:tc>
      </w:tr>
    </w:tbl>
    <w:p w:rsidR="00923B03" w:rsidRPr="00E978C9" w:rsidRDefault="00923B03" w:rsidP="00923B03">
      <w:pPr>
        <w:widowControl/>
        <w:shd w:val="clear" w:color="auto" w:fill="FFFFFF"/>
        <w:spacing w:after="75" w:line="525" w:lineRule="atLeast"/>
        <w:jc w:val="center"/>
        <w:rPr>
          <w:rFonts w:ascii="微软雅黑" w:eastAsia="微软雅黑" w:hAnsi="微软雅黑" w:cs="微软雅黑"/>
          <w:color w:val="333333"/>
          <w:kern w:val="0"/>
          <w:sz w:val="28"/>
          <w:szCs w:val="28"/>
          <w:shd w:val="clear" w:color="auto" w:fill="FFFFFF"/>
        </w:rPr>
      </w:pPr>
    </w:p>
    <w:p w:rsidR="00923B03" w:rsidRPr="00E978C9" w:rsidRDefault="00923B03" w:rsidP="00923B03">
      <w:pPr>
        <w:rPr>
          <w:rFonts w:ascii="Calibri" w:eastAsia="宋体" w:hAnsi="Calibri" w:cs="Times New Roman"/>
          <w:szCs w:val="24"/>
        </w:rPr>
      </w:pPr>
    </w:p>
    <w:p w:rsidR="00923B03" w:rsidRPr="00E978C9" w:rsidRDefault="00923B03" w:rsidP="00923B03">
      <w:pPr>
        <w:rPr>
          <w:rFonts w:ascii="Calibri" w:eastAsia="宋体" w:hAnsi="Calibri" w:cs="Times New Roman"/>
          <w:szCs w:val="24"/>
        </w:rPr>
      </w:pPr>
    </w:p>
    <w:p w:rsidR="00923B03" w:rsidRPr="00E978C9" w:rsidRDefault="00923B03" w:rsidP="00923B03">
      <w:pPr>
        <w:rPr>
          <w:rFonts w:ascii="Calibri" w:eastAsia="宋体" w:hAnsi="Calibri" w:cs="Times New Roman"/>
          <w:szCs w:val="24"/>
        </w:rPr>
      </w:pPr>
    </w:p>
    <w:p w:rsidR="00923B03" w:rsidRPr="00E978C9" w:rsidRDefault="00923B03" w:rsidP="00923B03">
      <w:pPr>
        <w:rPr>
          <w:rFonts w:ascii="Calibri" w:eastAsia="宋体" w:hAnsi="Calibri" w:cs="Times New Roman"/>
          <w:szCs w:val="24"/>
        </w:rPr>
      </w:pPr>
    </w:p>
    <w:p w:rsidR="00923B03" w:rsidRPr="00E978C9" w:rsidRDefault="00923B03" w:rsidP="00923B03">
      <w:pPr>
        <w:rPr>
          <w:rFonts w:ascii="Calibri" w:eastAsia="宋体" w:hAnsi="Calibri" w:cs="Times New Roman"/>
          <w:szCs w:val="24"/>
        </w:rPr>
      </w:pPr>
    </w:p>
    <w:p w:rsidR="00923B03" w:rsidRPr="00E978C9" w:rsidRDefault="00923B03" w:rsidP="00923B03">
      <w:pPr>
        <w:widowControl/>
        <w:shd w:val="clear" w:color="auto" w:fill="FFFFFF"/>
        <w:spacing w:after="75" w:line="525" w:lineRule="atLeast"/>
        <w:rPr>
          <w:rFonts w:ascii="微软雅黑" w:eastAsia="微软雅黑" w:hAnsi="微软雅黑" w:cs="微软雅黑"/>
          <w:color w:val="333333"/>
          <w:kern w:val="0"/>
          <w:sz w:val="27"/>
          <w:szCs w:val="27"/>
          <w:shd w:val="clear" w:color="auto" w:fill="FFFFFF"/>
        </w:rPr>
      </w:pPr>
    </w:p>
    <w:p w:rsidR="00923B03" w:rsidRPr="00E978C9" w:rsidRDefault="00923B03" w:rsidP="00923B03">
      <w:pPr>
        <w:tabs>
          <w:tab w:val="left" w:pos="311"/>
        </w:tabs>
        <w:jc w:val="left"/>
        <w:rPr>
          <w:rFonts w:ascii="Calibri" w:eastAsia="宋体" w:hAnsi="Calibri" w:cs="Times New Roman"/>
          <w:szCs w:val="24"/>
        </w:rPr>
      </w:pPr>
    </w:p>
    <w:p w:rsidR="00923B03" w:rsidRPr="00E978C9" w:rsidRDefault="00923B03" w:rsidP="00923B03">
      <w:pPr>
        <w:rPr>
          <w:rFonts w:ascii="Calibri" w:eastAsia="宋体" w:hAnsi="Calibri" w:cs="Times New Roman"/>
          <w:szCs w:val="24"/>
        </w:rPr>
      </w:pPr>
    </w:p>
    <w:p w:rsidR="00923B03" w:rsidRPr="00E978C9" w:rsidRDefault="00923B03" w:rsidP="00923B03">
      <w:pPr>
        <w:tabs>
          <w:tab w:val="left" w:pos="544"/>
        </w:tabs>
        <w:jc w:val="left"/>
        <w:rPr>
          <w:rFonts w:ascii="Calibri" w:eastAsia="宋体" w:hAnsi="Calibri" w:cs="Times New Roman"/>
          <w:szCs w:val="24"/>
        </w:rPr>
        <w:sectPr w:rsidR="00923B03" w:rsidRPr="00E978C9">
          <w:pgSz w:w="16838" w:h="11906" w:orient="landscape"/>
          <w:pgMar w:top="1440" w:right="1043" w:bottom="1440" w:left="1043" w:header="851" w:footer="992" w:gutter="0"/>
          <w:cols w:space="720"/>
          <w:docGrid w:type="lines" w:linePitch="322"/>
        </w:sectPr>
      </w:pPr>
    </w:p>
    <w:p w:rsidR="004C3B01" w:rsidRPr="00923B03" w:rsidRDefault="004C3B01"/>
    <w:sectPr w:rsidR="004C3B01" w:rsidRPr="00923B03" w:rsidSect="006D3249">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E99" w:rsidRDefault="006E4E99" w:rsidP="00923B03">
      <w:r>
        <w:separator/>
      </w:r>
    </w:p>
  </w:endnote>
  <w:endnote w:type="continuationSeparator" w:id="1">
    <w:p w:rsidR="006E4E99" w:rsidRDefault="006E4E99" w:rsidP="00923B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思源黑体 CN Bold">
    <w:altName w:val="黑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E99" w:rsidRDefault="006E4E99" w:rsidP="00923B03">
      <w:r>
        <w:separator/>
      </w:r>
    </w:p>
  </w:footnote>
  <w:footnote w:type="continuationSeparator" w:id="1">
    <w:p w:rsidR="006E4E99" w:rsidRDefault="006E4E99" w:rsidP="00923B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B03"/>
    <w:rsid w:val="000718B5"/>
    <w:rsid w:val="000A731B"/>
    <w:rsid w:val="004C3B01"/>
    <w:rsid w:val="00500C20"/>
    <w:rsid w:val="005D30D3"/>
    <w:rsid w:val="006D3249"/>
    <w:rsid w:val="006E4E99"/>
    <w:rsid w:val="00923B03"/>
    <w:rsid w:val="00CB6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1" type="connector" idref="#直接连接符 7"/>
        <o:r id="V:Rule2" type="connector" idref="#直接连接符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B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3B03"/>
    <w:rPr>
      <w:sz w:val="18"/>
      <w:szCs w:val="18"/>
    </w:rPr>
  </w:style>
  <w:style w:type="paragraph" w:styleId="a4">
    <w:name w:val="footer"/>
    <w:basedOn w:val="a"/>
    <w:link w:val="Char0"/>
    <w:uiPriority w:val="99"/>
    <w:semiHidden/>
    <w:unhideWhenUsed/>
    <w:rsid w:val="00923B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3B03"/>
    <w:rPr>
      <w:sz w:val="18"/>
      <w:szCs w:val="18"/>
    </w:rPr>
  </w:style>
  <w:style w:type="paragraph" w:styleId="a5">
    <w:name w:val="Normal (Web)"/>
    <w:basedOn w:val="a"/>
    <w:uiPriority w:val="99"/>
    <w:semiHidden/>
    <w:unhideWhenUsed/>
    <w:rsid w:val="00923B03"/>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23B03"/>
    <w:rPr>
      <w:sz w:val="18"/>
      <w:szCs w:val="18"/>
    </w:rPr>
  </w:style>
  <w:style w:type="character" w:customStyle="1" w:styleId="Char1">
    <w:name w:val="批注框文本 Char"/>
    <w:basedOn w:val="a0"/>
    <w:link w:val="a6"/>
    <w:uiPriority w:val="99"/>
    <w:semiHidden/>
    <w:rsid w:val="00923B0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2017010</cp:lastModifiedBy>
  <cp:revision>2</cp:revision>
  <dcterms:created xsi:type="dcterms:W3CDTF">2020-07-05T03:10:00Z</dcterms:created>
  <dcterms:modified xsi:type="dcterms:W3CDTF">2020-07-05T03:10:00Z</dcterms:modified>
</cp:coreProperties>
</file>